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BF" w:rsidRDefault="00D51037" w:rsidP="004535BF">
      <w:r w:rsidRPr="003459CF">
        <w:rPr>
          <w:rFonts w:ascii="Tahoma" w:hAnsi="Tahoma" w:cs="Tahoma"/>
          <w:noProof/>
        </w:rPr>
        <w:drawing>
          <wp:anchor distT="0" distB="0" distL="114300" distR="114300" simplePos="0" relativeHeight="251661312" behindDoc="1" locked="0" layoutInCell="1" allowOverlap="1">
            <wp:simplePos x="0" y="0"/>
            <wp:positionH relativeFrom="column">
              <wp:posOffset>2133600</wp:posOffset>
            </wp:positionH>
            <wp:positionV relativeFrom="paragraph">
              <wp:posOffset>0</wp:posOffset>
            </wp:positionV>
            <wp:extent cx="1657350" cy="1724660"/>
            <wp:effectExtent l="0" t="0" r="0" b="8890"/>
            <wp:wrapTight wrapText="bothSides">
              <wp:wrapPolygon edited="0">
                <wp:start x="0" y="0"/>
                <wp:lineTo x="0" y="21473"/>
                <wp:lineTo x="21352" y="21473"/>
                <wp:lineTo x="21352" y="0"/>
                <wp:lineTo x="0" y="0"/>
              </wp:wrapPolygon>
            </wp:wrapTight>
            <wp:docPr id="2" name="Picture 2" descr="F:\logos\Barlows Badge with na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Barlows Badge with nam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5BF">
        <w:t xml:space="preserve">. </w:t>
      </w:r>
    </w:p>
    <w:p w:rsidR="00D51037" w:rsidRDefault="004535BF" w:rsidP="004535BF">
      <w:pPr>
        <w:spacing w:after="184" w:line="259" w:lineRule="auto"/>
        <w:ind w:left="0" w:right="0" w:firstLine="0"/>
        <w:rPr>
          <w:b/>
          <w:sz w:val="28"/>
        </w:rPr>
      </w:pPr>
      <w:r>
        <w:rPr>
          <w:b/>
          <w:sz w:val="28"/>
        </w:rPr>
        <w:t xml:space="preserve">        </w:t>
      </w:r>
    </w:p>
    <w:p w:rsidR="00D51037" w:rsidRDefault="00D51037" w:rsidP="004535BF">
      <w:pPr>
        <w:spacing w:after="184" w:line="259" w:lineRule="auto"/>
        <w:ind w:left="0" w:right="0" w:firstLine="0"/>
        <w:rPr>
          <w:b/>
          <w:sz w:val="28"/>
        </w:rPr>
      </w:pPr>
    </w:p>
    <w:p w:rsidR="00D51037" w:rsidRDefault="00D51037" w:rsidP="004535BF">
      <w:pPr>
        <w:spacing w:after="184" w:line="259" w:lineRule="auto"/>
        <w:ind w:left="0" w:right="0" w:firstLine="0"/>
        <w:rPr>
          <w:b/>
          <w:sz w:val="28"/>
        </w:rPr>
      </w:pPr>
      <w:bookmarkStart w:id="0" w:name="_GoBack"/>
      <w:bookmarkEnd w:id="0"/>
    </w:p>
    <w:p w:rsidR="00D51037" w:rsidRDefault="00D51037" w:rsidP="004535BF">
      <w:pPr>
        <w:spacing w:after="184" w:line="259" w:lineRule="auto"/>
        <w:ind w:left="0" w:right="0" w:firstLine="0"/>
        <w:rPr>
          <w:b/>
          <w:sz w:val="28"/>
        </w:rPr>
      </w:pPr>
    </w:p>
    <w:p w:rsidR="00D51037" w:rsidRDefault="00D51037" w:rsidP="004535BF">
      <w:pPr>
        <w:spacing w:after="184" w:line="259" w:lineRule="auto"/>
        <w:ind w:left="0" w:right="0" w:firstLine="0"/>
        <w:rPr>
          <w:b/>
          <w:sz w:val="28"/>
        </w:rPr>
      </w:pPr>
    </w:p>
    <w:p w:rsidR="00D51037" w:rsidRDefault="00D51037" w:rsidP="004535BF">
      <w:pPr>
        <w:spacing w:after="184" w:line="259" w:lineRule="auto"/>
        <w:ind w:left="0" w:right="0" w:firstLine="0"/>
        <w:rPr>
          <w:b/>
          <w:sz w:val="28"/>
        </w:rPr>
      </w:pPr>
    </w:p>
    <w:p w:rsidR="00D51037" w:rsidRDefault="00D51037" w:rsidP="004535BF">
      <w:pPr>
        <w:spacing w:after="184" w:line="259" w:lineRule="auto"/>
        <w:ind w:left="0" w:right="0" w:firstLine="0"/>
        <w:rPr>
          <w:b/>
          <w:sz w:val="28"/>
        </w:rPr>
      </w:pPr>
    </w:p>
    <w:p w:rsidR="004535BF" w:rsidRPr="004535BF" w:rsidRDefault="004535BF" w:rsidP="004535BF">
      <w:pPr>
        <w:spacing w:after="184" w:line="259" w:lineRule="auto"/>
        <w:ind w:left="0" w:right="0" w:firstLine="0"/>
        <w:rPr>
          <w:rFonts w:ascii="Tahoma" w:hAnsi="Tahoma" w:cs="Tahoma"/>
        </w:rPr>
      </w:pPr>
      <w:r w:rsidRPr="004535BF">
        <w:rPr>
          <w:rFonts w:ascii="Tahoma" w:hAnsi="Tahoma" w:cs="Tahoma"/>
          <w:b/>
          <w:sz w:val="28"/>
        </w:rPr>
        <w:t xml:space="preserve">Records Management Policy and retention guidelines </w:t>
      </w:r>
    </w:p>
    <w:p w:rsidR="004535BF" w:rsidRPr="004535BF" w:rsidRDefault="004535BF" w:rsidP="004535BF">
      <w:pPr>
        <w:spacing w:after="219" w:line="259" w:lineRule="auto"/>
        <w:ind w:left="703" w:right="0"/>
        <w:rPr>
          <w:rFonts w:ascii="Tahoma" w:hAnsi="Tahoma" w:cs="Tahoma"/>
        </w:rPr>
      </w:pPr>
      <w:r w:rsidRPr="004535BF">
        <w:rPr>
          <w:rFonts w:ascii="Tahoma" w:hAnsi="Tahoma" w:cs="Tahoma"/>
          <w:b/>
        </w:rPr>
        <w:t xml:space="preserve">Background </w:t>
      </w:r>
    </w:p>
    <w:p w:rsidR="004535BF" w:rsidRPr="004535BF" w:rsidRDefault="004535BF" w:rsidP="004535BF">
      <w:pPr>
        <w:spacing w:after="225"/>
        <w:ind w:left="703"/>
        <w:rPr>
          <w:rFonts w:ascii="Tahoma" w:hAnsi="Tahoma" w:cs="Tahoma"/>
        </w:rPr>
      </w:pPr>
      <w:r w:rsidRPr="004535BF">
        <w:rPr>
          <w:rFonts w:ascii="Tahoma" w:hAnsi="Tahoma" w:cs="Tahoma"/>
        </w:rPr>
        <w:t xml:space="preserve">Section 46 of the Freedom of Information Act 2000 requires schools to follow a Code of Practice on managing their records. Under section 7 of the Code of Practice on the Management of Records, it states that: </w:t>
      </w:r>
    </w:p>
    <w:p w:rsidR="004535BF" w:rsidRPr="004535BF" w:rsidRDefault="004535BF" w:rsidP="004535BF">
      <w:pPr>
        <w:spacing w:after="154" w:line="315" w:lineRule="auto"/>
        <w:ind w:left="703"/>
        <w:rPr>
          <w:rFonts w:ascii="Tahoma" w:hAnsi="Tahoma" w:cs="Tahoma"/>
        </w:rPr>
      </w:pPr>
      <w:r w:rsidRPr="004535BF">
        <w:rPr>
          <w:rFonts w:ascii="Tahoma" w:hAnsi="Tahoma" w:cs="Tahoma"/>
        </w:rPr>
        <w:t xml:space="preserve">‘Authorities should have in place a records management policy, either as a separate policy or as part of a wider information or knowledge management policy.’ </w:t>
      </w:r>
    </w:p>
    <w:p w:rsidR="004535BF" w:rsidRPr="004535BF" w:rsidRDefault="004535BF" w:rsidP="004535BF">
      <w:pPr>
        <w:spacing w:after="37"/>
        <w:ind w:left="703"/>
        <w:rPr>
          <w:rFonts w:ascii="Tahoma" w:hAnsi="Tahoma" w:cs="Tahoma"/>
        </w:rPr>
      </w:pPr>
      <w:r w:rsidRPr="004535BF">
        <w:rPr>
          <w:rFonts w:ascii="Tahoma" w:hAnsi="Tahoma" w:cs="Tahoma"/>
        </w:rPr>
        <w:t xml:space="preserve">The following model policy statement can be adopted by individual schools in its entirety or can be amended to reflect the needs of individual schools. It has been extracted from model action plan for developing records management complaint with the Lord Chancellor’s Code of Practice under Section 46 of the Freedom of </w:t>
      </w:r>
    </w:p>
    <w:p w:rsidR="004535BF" w:rsidRPr="004535BF" w:rsidRDefault="004535BF" w:rsidP="004535BF">
      <w:pPr>
        <w:spacing w:after="225"/>
        <w:ind w:left="703"/>
        <w:rPr>
          <w:rFonts w:ascii="Tahoma" w:hAnsi="Tahoma" w:cs="Tahoma"/>
        </w:rPr>
      </w:pPr>
      <w:r w:rsidRPr="004535BF">
        <w:rPr>
          <w:rFonts w:ascii="Tahoma" w:hAnsi="Tahoma" w:cs="Tahoma"/>
        </w:rPr>
        <w:t xml:space="preserve">Information Act 2000 Model Action Plan for Schools. The policy should be approved by the governing board or other appropriate authority. Once the records management policy has been approved at the appropriate level it should be published as part of the publication scheme. </w:t>
      </w:r>
    </w:p>
    <w:p w:rsidR="004535BF" w:rsidRPr="004535BF" w:rsidRDefault="004535BF" w:rsidP="004535BF">
      <w:pPr>
        <w:spacing w:after="219" w:line="259" w:lineRule="auto"/>
        <w:ind w:left="703" w:right="0"/>
        <w:rPr>
          <w:rFonts w:ascii="Tahoma" w:hAnsi="Tahoma" w:cs="Tahoma"/>
        </w:rPr>
      </w:pPr>
      <w:r w:rsidRPr="004535BF">
        <w:rPr>
          <w:rFonts w:ascii="Tahoma" w:hAnsi="Tahoma" w:cs="Tahoma"/>
          <w:b/>
        </w:rPr>
        <w:t xml:space="preserve">Barlows Primary  School Records Management Policy </w:t>
      </w:r>
    </w:p>
    <w:p w:rsidR="004535BF" w:rsidRPr="004535BF" w:rsidRDefault="004535BF" w:rsidP="004535BF">
      <w:pPr>
        <w:spacing w:after="250"/>
        <w:ind w:left="703"/>
        <w:rPr>
          <w:rFonts w:ascii="Tahoma" w:hAnsi="Tahoma" w:cs="Tahoma"/>
        </w:rPr>
      </w:pPr>
      <w:r w:rsidRPr="004535BF">
        <w:rPr>
          <w:rFonts w:ascii="Tahoma" w:eastAsia="Calibri" w:hAnsi="Tahoma" w:cs="Tahoma"/>
          <w:noProof/>
          <w:sz w:val="22"/>
        </w:rPr>
        <mc:AlternateContent>
          <mc:Choice Requires="wpg">
            <w:drawing>
              <wp:anchor distT="0" distB="0" distL="114300" distR="114300" simplePos="0" relativeHeight="251660288" behindDoc="0" locked="0" layoutInCell="1" allowOverlap="1" wp14:anchorId="2FD85761" wp14:editId="199CDFE2">
                <wp:simplePos x="0" y="0"/>
                <wp:positionH relativeFrom="page">
                  <wp:posOffset>468630</wp:posOffset>
                </wp:positionH>
                <wp:positionV relativeFrom="page">
                  <wp:posOffset>9922128</wp:posOffset>
                </wp:positionV>
                <wp:extent cx="7091934" cy="9525"/>
                <wp:effectExtent l="0" t="0" r="0" b="0"/>
                <wp:wrapTopAndBottom/>
                <wp:docPr id="4026" name="Group 4026"/>
                <wp:cNvGraphicFramePr/>
                <a:graphic xmlns:a="http://schemas.openxmlformats.org/drawingml/2006/main">
                  <a:graphicData uri="http://schemas.microsoft.com/office/word/2010/wordprocessingGroup">
                    <wpg:wgp>
                      <wpg:cNvGrpSpPr/>
                      <wpg:grpSpPr>
                        <a:xfrm>
                          <a:off x="0" y="0"/>
                          <a:ext cx="7091934" cy="9525"/>
                          <a:chOff x="0" y="0"/>
                          <a:chExt cx="7091934" cy="9525"/>
                        </a:xfrm>
                      </wpg:grpSpPr>
                      <wps:wsp>
                        <wps:cNvPr id="30" name="Shape 30"/>
                        <wps:cNvSpPr/>
                        <wps:spPr>
                          <a:xfrm>
                            <a:off x="0" y="0"/>
                            <a:ext cx="7091934" cy="0"/>
                          </a:xfrm>
                          <a:custGeom>
                            <a:avLst/>
                            <a:gdLst/>
                            <a:ahLst/>
                            <a:cxnLst/>
                            <a:rect l="0" t="0" r="0" b="0"/>
                            <a:pathLst>
                              <a:path w="7091934">
                                <a:moveTo>
                                  <a:pt x="7091934" y="0"/>
                                </a:moveTo>
                                <a:lnTo>
                                  <a:pt x="0" y="0"/>
                                </a:lnTo>
                              </a:path>
                            </a:pathLst>
                          </a:custGeom>
                          <a:ln w="9525" cap="flat">
                            <a:round/>
                          </a:ln>
                        </wps:spPr>
                        <wps:style>
                          <a:lnRef idx="1">
                            <a:srgbClr val="A6A6A6"/>
                          </a:lnRef>
                          <a:fillRef idx="0">
                            <a:srgbClr val="000000">
                              <a:alpha val="0"/>
                            </a:srgbClr>
                          </a:fillRef>
                          <a:effectRef idx="0">
                            <a:scrgbClr r="0" g="0" b="0"/>
                          </a:effectRef>
                          <a:fontRef idx="none"/>
                        </wps:style>
                        <wps:bodyPr/>
                      </wps:wsp>
                    </wpg:wgp>
                  </a:graphicData>
                </a:graphic>
              </wp:anchor>
            </w:drawing>
          </mc:Choice>
          <mc:Fallback>
            <w:pict>
              <v:group w14:anchorId="1D1FA3D3" id="Group 4026" o:spid="_x0000_s1026" style="position:absolute;margin-left:36.9pt;margin-top:781.25pt;width:558.4pt;height:.75pt;z-index:251660288;mso-position-horizontal-relative:page;mso-position-vertical-relative:page" coordsize="709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">
                <v:shape id="Shape 30" o:spid="_x0000_s1027" style="position:absolute;width:70919;height:0;visibility:visible;mso-wrap-style:square;v-text-anchor:top" coordsize="7091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3acIA&#10;AADbAAAADwAAAGRycy9kb3ducmV2LnhtbERPz2vCMBS+D/wfwhN2m6kTxXVNRRxjw4tbnXp9NG9N&#10;sXkpTaz1vzeHwY4f3+9sNdhG9NT52rGC6SQBQVw6XXOl4Gf//rQE4QOyxsYxKbiRh1U+esgw1e7K&#10;39QXoRIxhH2KCkwIbSqlLw1Z9BPXEkfu13UWQ4RdJXWH1xhuG/mcJAtpsebYYLCljaHyXFysgsvh&#10;bbuYn3aG59NZb194ffw4fCn1OB7WryACDeFf/Of+1ApmcX38En+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XdpwgAAANsAAAAPAAAAAAAAAAAAAAAAAJgCAABkcnMvZG93&#10;bnJldi54bWxQSwUGAAAAAAQABAD1AAAAhwMAAAAA&#10;" path="m7091934,l,e" filled="f" strokecolor="#a6a6a6">
                  <v:path arrowok="t" textboxrect="0,0,7091934,0"/>
                </v:shape>
                <w10:wrap type="topAndBottom" anchorx="page" anchory="page"/>
              </v:group>
            </w:pict>
          </mc:Fallback>
        </mc:AlternateContent>
      </w:r>
      <w:r w:rsidRPr="004535BF">
        <w:rPr>
          <w:rFonts w:ascii="Tahoma" w:hAnsi="Tahoma" w:cs="Tahoma"/>
        </w:rPr>
        <w:t xml:space="preserve">The School recognises that by efficiently managing its records, it will be able to comply with its legal and regulatory obligations and to contribute to the effective overall management of the institution. Records provide evidence for protecting the legal rights and interests of the school, and provide evidence for demonstrating performance and accountability. This document provides the policy framework through which this effective management can be achieved and audited. It covers: </w:t>
      </w:r>
    </w:p>
    <w:p w:rsidR="004535BF" w:rsidRPr="004535BF" w:rsidRDefault="004535BF" w:rsidP="004535BF">
      <w:pPr>
        <w:numPr>
          <w:ilvl w:val="0"/>
          <w:numId w:val="1"/>
        </w:numPr>
        <w:ind w:hanging="360"/>
        <w:rPr>
          <w:rFonts w:ascii="Tahoma" w:hAnsi="Tahoma" w:cs="Tahoma"/>
        </w:rPr>
      </w:pPr>
      <w:r w:rsidRPr="004535BF">
        <w:rPr>
          <w:rFonts w:ascii="Tahoma" w:hAnsi="Tahoma" w:cs="Tahoma"/>
        </w:rPr>
        <w:lastRenderedPageBreak/>
        <w:t xml:space="preserve">Scope </w:t>
      </w:r>
    </w:p>
    <w:p w:rsidR="004535BF" w:rsidRPr="004535BF" w:rsidRDefault="004535BF" w:rsidP="004535BF">
      <w:pPr>
        <w:numPr>
          <w:ilvl w:val="0"/>
          <w:numId w:val="1"/>
        </w:numPr>
        <w:ind w:hanging="360"/>
        <w:rPr>
          <w:rFonts w:ascii="Tahoma" w:hAnsi="Tahoma" w:cs="Tahoma"/>
        </w:rPr>
      </w:pPr>
      <w:r w:rsidRPr="004535BF">
        <w:rPr>
          <w:rFonts w:ascii="Tahoma" w:hAnsi="Tahoma" w:cs="Tahoma"/>
        </w:rPr>
        <w:t xml:space="preserve">Responsibilities </w:t>
      </w:r>
    </w:p>
    <w:p w:rsidR="004535BF" w:rsidRPr="004535BF" w:rsidRDefault="004535BF" w:rsidP="004535BF">
      <w:pPr>
        <w:numPr>
          <w:ilvl w:val="0"/>
          <w:numId w:val="1"/>
        </w:numPr>
        <w:spacing w:after="183"/>
        <w:ind w:hanging="360"/>
        <w:rPr>
          <w:rFonts w:ascii="Tahoma" w:hAnsi="Tahoma" w:cs="Tahoma"/>
        </w:rPr>
      </w:pPr>
      <w:r w:rsidRPr="004535BF">
        <w:rPr>
          <w:rFonts w:ascii="Tahoma" w:hAnsi="Tahoma" w:cs="Tahoma"/>
        </w:rPr>
        <w:t xml:space="preserve">Relationships with existing policies </w:t>
      </w:r>
    </w:p>
    <w:p w:rsidR="004535BF" w:rsidRPr="004535BF" w:rsidRDefault="004535BF" w:rsidP="004535BF">
      <w:pPr>
        <w:numPr>
          <w:ilvl w:val="0"/>
          <w:numId w:val="2"/>
        </w:numPr>
        <w:ind w:hanging="550"/>
        <w:rPr>
          <w:rFonts w:ascii="Tahoma" w:hAnsi="Tahoma" w:cs="Tahoma"/>
        </w:rPr>
      </w:pPr>
      <w:r w:rsidRPr="004535BF">
        <w:rPr>
          <w:rFonts w:ascii="Tahoma" w:hAnsi="Tahoma" w:cs="Tahoma"/>
        </w:rPr>
        <w:t xml:space="preserve">Scope of the policy </w:t>
      </w:r>
    </w:p>
    <w:p w:rsidR="004535BF" w:rsidRPr="004535BF" w:rsidRDefault="004535BF" w:rsidP="004535BF">
      <w:pPr>
        <w:spacing w:after="0" w:line="259" w:lineRule="auto"/>
        <w:ind w:left="1258" w:right="0" w:firstLine="0"/>
        <w:rPr>
          <w:rFonts w:ascii="Tahoma" w:hAnsi="Tahoma" w:cs="Tahoma"/>
        </w:rPr>
      </w:pPr>
      <w:r w:rsidRPr="004535BF">
        <w:rPr>
          <w:rFonts w:ascii="Tahoma" w:hAnsi="Tahoma" w:cs="Tahoma"/>
        </w:rPr>
        <w:t xml:space="preserve"> </w:t>
      </w:r>
    </w:p>
    <w:p w:rsidR="004535BF" w:rsidRPr="004535BF" w:rsidRDefault="004535BF" w:rsidP="004535BF">
      <w:pPr>
        <w:numPr>
          <w:ilvl w:val="1"/>
          <w:numId w:val="2"/>
        </w:numPr>
        <w:ind w:hanging="550"/>
        <w:rPr>
          <w:rFonts w:ascii="Tahoma" w:hAnsi="Tahoma" w:cs="Tahoma"/>
        </w:rPr>
      </w:pPr>
      <w:r w:rsidRPr="004535BF">
        <w:rPr>
          <w:rFonts w:ascii="Tahoma" w:hAnsi="Tahoma" w:cs="Tahoma"/>
        </w:rPr>
        <w:t xml:space="preserve">This policy applies to all records created, received or maintained by staff of the school in the course of varying out its functions. </w:t>
      </w:r>
    </w:p>
    <w:p w:rsidR="004535BF" w:rsidRPr="004535BF" w:rsidRDefault="004535BF" w:rsidP="004535BF">
      <w:pPr>
        <w:spacing w:after="0" w:line="259" w:lineRule="auto"/>
        <w:ind w:left="1258" w:right="0" w:firstLine="0"/>
        <w:rPr>
          <w:rFonts w:ascii="Tahoma" w:hAnsi="Tahoma" w:cs="Tahoma"/>
        </w:rPr>
      </w:pPr>
      <w:r w:rsidRPr="004535BF">
        <w:rPr>
          <w:rFonts w:ascii="Tahoma" w:hAnsi="Tahoma" w:cs="Tahoma"/>
        </w:rPr>
        <w:t xml:space="preserve"> </w:t>
      </w:r>
    </w:p>
    <w:p w:rsidR="004535BF" w:rsidRPr="004535BF" w:rsidRDefault="004535BF" w:rsidP="004535BF">
      <w:pPr>
        <w:numPr>
          <w:ilvl w:val="1"/>
          <w:numId w:val="2"/>
        </w:numPr>
        <w:ind w:hanging="550"/>
        <w:rPr>
          <w:rFonts w:ascii="Tahoma" w:hAnsi="Tahoma" w:cs="Tahoma"/>
        </w:rPr>
      </w:pPr>
      <w:r w:rsidRPr="004535BF">
        <w:rPr>
          <w:rFonts w:ascii="Tahoma" w:hAnsi="Tahoma" w:cs="Tahoma"/>
        </w:rPr>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4535BF" w:rsidRPr="004535BF" w:rsidRDefault="004535BF" w:rsidP="004535BF">
      <w:pPr>
        <w:spacing w:after="18" w:line="259" w:lineRule="auto"/>
        <w:ind w:left="1258" w:right="0" w:firstLine="0"/>
        <w:rPr>
          <w:rFonts w:ascii="Tahoma" w:hAnsi="Tahoma" w:cs="Tahoma"/>
        </w:rPr>
      </w:pPr>
      <w:r w:rsidRPr="004535BF">
        <w:rPr>
          <w:rFonts w:ascii="Tahoma" w:hAnsi="Tahoma" w:cs="Tahoma"/>
        </w:rPr>
        <w:t xml:space="preserve"> </w:t>
      </w:r>
    </w:p>
    <w:p w:rsidR="004535BF" w:rsidRPr="004535BF" w:rsidRDefault="004535BF" w:rsidP="004535BF">
      <w:pPr>
        <w:numPr>
          <w:ilvl w:val="1"/>
          <w:numId w:val="2"/>
        </w:numPr>
        <w:spacing w:after="276"/>
        <w:ind w:hanging="550"/>
        <w:rPr>
          <w:rFonts w:ascii="Tahoma" w:hAnsi="Tahoma" w:cs="Tahoma"/>
        </w:rPr>
      </w:pPr>
      <w:r w:rsidRPr="004535BF">
        <w:rPr>
          <w:rFonts w:ascii="Tahoma" w:hAnsi="Tahoma" w:cs="Tahoma"/>
        </w:rPr>
        <w:t xml:space="preserve">A small percentage of the school’s records will be selected for permanent </w:t>
      </w:r>
      <w:r w:rsidRPr="004535BF">
        <w:rPr>
          <w:rFonts w:ascii="Tahoma" w:hAnsi="Tahoma" w:cs="Tahoma"/>
        </w:rPr>
        <w:t>preservation as part of the institution’s archives and for historical research. This should be done in liaison with the County Archives Service.</w:t>
      </w:r>
    </w:p>
    <w:p w:rsidR="004535BF" w:rsidRPr="004535BF" w:rsidRDefault="004535BF" w:rsidP="004535BF">
      <w:pPr>
        <w:spacing w:after="0" w:line="259" w:lineRule="auto"/>
        <w:ind w:left="708" w:right="0" w:firstLine="0"/>
        <w:rPr>
          <w:rFonts w:ascii="Tahoma" w:hAnsi="Tahoma" w:cs="Tahoma"/>
        </w:rPr>
      </w:pPr>
      <w:r w:rsidRPr="004535BF">
        <w:rPr>
          <w:rFonts w:ascii="Tahoma" w:eastAsia="Calibri" w:hAnsi="Tahoma" w:cs="Tahoma"/>
          <w:b/>
          <w:color w:val="D50032"/>
          <w:sz w:val="20"/>
        </w:rPr>
        <w:t xml:space="preserve"> </w:t>
      </w:r>
    </w:p>
    <w:p w:rsidR="004535BF" w:rsidRPr="004535BF" w:rsidRDefault="004535BF" w:rsidP="004535BF">
      <w:pPr>
        <w:spacing w:after="0" w:line="259" w:lineRule="auto"/>
        <w:ind w:left="1258" w:right="0" w:firstLine="0"/>
        <w:rPr>
          <w:rFonts w:ascii="Tahoma" w:hAnsi="Tahoma" w:cs="Tahoma"/>
        </w:rPr>
      </w:pPr>
    </w:p>
    <w:p w:rsidR="004535BF" w:rsidRPr="004535BF" w:rsidRDefault="004535BF" w:rsidP="004535BF">
      <w:pPr>
        <w:numPr>
          <w:ilvl w:val="0"/>
          <w:numId w:val="2"/>
        </w:numPr>
        <w:ind w:hanging="550"/>
        <w:rPr>
          <w:rFonts w:ascii="Tahoma" w:hAnsi="Tahoma" w:cs="Tahoma"/>
        </w:rPr>
      </w:pPr>
      <w:r w:rsidRPr="004535BF">
        <w:rPr>
          <w:rFonts w:ascii="Tahoma" w:hAnsi="Tahoma" w:cs="Tahoma"/>
        </w:rPr>
        <w:t xml:space="preserve">Responsibilities </w:t>
      </w:r>
    </w:p>
    <w:p w:rsidR="004535BF" w:rsidRPr="004535BF" w:rsidRDefault="004535BF" w:rsidP="004535BF">
      <w:pPr>
        <w:spacing w:after="0" w:line="259" w:lineRule="auto"/>
        <w:ind w:left="1258" w:right="0" w:firstLine="0"/>
        <w:rPr>
          <w:rFonts w:ascii="Tahoma" w:hAnsi="Tahoma" w:cs="Tahoma"/>
        </w:rPr>
      </w:pPr>
      <w:r w:rsidRPr="004535BF">
        <w:rPr>
          <w:rFonts w:ascii="Tahoma" w:hAnsi="Tahoma" w:cs="Tahoma"/>
        </w:rPr>
        <w:t xml:space="preserve"> </w:t>
      </w:r>
    </w:p>
    <w:p w:rsidR="004535BF" w:rsidRPr="004535BF" w:rsidRDefault="004535BF" w:rsidP="004535BF">
      <w:pPr>
        <w:numPr>
          <w:ilvl w:val="1"/>
          <w:numId w:val="2"/>
        </w:numPr>
        <w:ind w:hanging="550"/>
        <w:rPr>
          <w:rFonts w:ascii="Tahoma" w:hAnsi="Tahoma" w:cs="Tahoma"/>
        </w:rPr>
      </w:pPr>
      <w:r w:rsidRPr="004535BF">
        <w:rPr>
          <w:rFonts w:ascii="Tahoma" w:hAnsi="Tahoma" w:cs="Tahoma"/>
        </w:rPr>
        <w:t xml:space="preserve">The school has a corporate responsibility to maintain its records keeping systems in accordance with the regulatory environment. The person with overall responsibility for this policy is the Headteacher/Head of School. </w:t>
      </w:r>
    </w:p>
    <w:p w:rsidR="004535BF" w:rsidRPr="004535BF" w:rsidRDefault="004535BF" w:rsidP="004535BF">
      <w:pPr>
        <w:spacing w:after="0" w:line="259" w:lineRule="auto"/>
        <w:ind w:left="1258" w:right="0" w:firstLine="0"/>
        <w:rPr>
          <w:rFonts w:ascii="Tahoma" w:hAnsi="Tahoma" w:cs="Tahoma"/>
        </w:rPr>
      </w:pPr>
      <w:r w:rsidRPr="004535BF">
        <w:rPr>
          <w:rFonts w:ascii="Tahoma" w:hAnsi="Tahoma" w:cs="Tahoma"/>
        </w:rPr>
        <w:t xml:space="preserve"> </w:t>
      </w:r>
    </w:p>
    <w:p w:rsidR="004535BF" w:rsidRPr="004535BF" w:rsidRDefault="004535BF" w:rsidP="004535BF">
      <w:pPr>
        <w:numPr>
          <w:ilvl w:val="1"/>
          <w:numId w:val="2"/>
        </w:numPr>
        <w:ind w:hanging="550"/>
        <w:rPr>
          <w:rFonts w:ascii="Tahoma" w:hAnsi="Tahoma" w:cs="Tahoma"/>
        </w:rPr>
      </w:pPr>
      <w:r w:rsidRPr="004535BF">
        <w:rPr>
          <w:rFonts w:ascii="Tahoma" w:hAnsi="Tahoma" w:cs="Tahoma"/>
        </w:rPr>
        <w:t xml:space="preserve">The person responsible for records management in the school will give guidance for good records management practice and will promote compliance with this policy so that information will be retrieved easily, appropriately and in timely way. They will also monitor compliance with this policy by surveying at least annually to check if records are stored securely and can be accessed appropriately. </w:t>
      </w:r>
    </w:p>
    <w:p w:rsidR="004535BF" w:rsidRPr="004535BF" w:rsidRDefault="004535BF" w:rsidP="004535BF">
      <w:pPr>
        <w:spacing w:after="0" w:line="259" w:lineRule="auto"/>
        <w:ind w:left="1258" w:right="0" w:firstLine="0"/>
        <w:rPr>
          <w:rFonts w:ascii="Tahoma" w:hAnsi="Tahoma" w:cs="Tahoma"/>
        </w:rPr>
      </w:pPr>
      <w:r w:rsidRPr="004535BF">
        <w:rPr>
          <w:rFonts w:ascii="Tahoma" w:hAnsi="Tahoma" w:cs="Tahoma"/>
        </w:rPr>
        <w:t xml:space="preserve"> </w:t>
      </w:r>
    </w:p>
    <w:p w:rsidR="004535BF" w:rsidRPr="004535BF" w:rsidRDefault="004535BF" w:rsidP="004535BF">
      <w:pPr>
        <w:numPr>
          <w:ilvl w:val="1"/>
          <w:numId w:val="2"/>
        </w:numPr>
        <w:ind w:hanging="550"/>
        <w:rPr>
          <w:rFonts w:ascii="Tahoma" w:hAnsi="Tahoma" w:cs="Tahoma"/>
        </w:rPr>
      </w:pPr>
      <w:r w:rsidRPr="004535BF">
        <w:rPr>
          <w:rFonts w:ascii="Tahoma" w:hAnsi="Tahoma" w:cs="Tahoma"/>
        </w:rPr>
        <w:t xml:space="preserve">Individual staff and employees must ensure that records for which they are responsible are accurate, and are maintained and disposed of in accordance with school’s records management guidelines. </w:t>
      </w:r>
    </w:p>
    <w:p w:rsidR="004535BF" w:rsidRPr="004535BF" w:rsidRDefault="004535BF" w:rsidP="004535BF">
      <w:pPr>
        <w:spacing w:after="0" w:line="259" w:lineRule="auto"/>
        <w:ind w:left="1258" w:right="0" w:firstLine="0"/>
        <w:rPr>
          <w:rFonts w:ascii="Tahoma" w:hAnsi="Tahoma" w:cs="Tahoma"/>
        </w:rPr>
      </w:pPr>
      <w:r w:rsidRPr="004535BF">
        <w:rPr>
          <w:rFonts w:ascii="Tahoma" w:hAnsi="Tahoma" w:cs="Tahoma"/>
        </w:rPr>
        <w:t xml:space="preserve"> </w:t>
      </w:r>
    </w:p>
    <w:p w:rsidR="004535BF" w:rsidRPr="004535BF" w:rsidRDefault="004535BF" w:rsidP="004535BF">
      <w:pPr>
        <w:numPr>
          <w:ilvl w:val="0"/>
          <w:numId w:val="2"/>
        </w:numPr>
        <w:ind w:hanging="550"/>
        <w:rPr>
          <w:rFonts w:ascii="Tahoma" w:hAnsi="Tahoma" w:cs="Tahoma"/>
        </w:rPr>
      </w:pPr>
      <w:r w:rsidRPr="004535BF">
        <w:rPr>
          <w:rFonts w:ascii="Tahoma" w:hAnsi="Tahoma" w:cs="Tahoma"/>
        </w:rPr>
        <w:t xml:space="preserve">Relationship with existing policies </w:t>
      </w:r>
    </w:p>
    <w:p w:rsidR="004535BF" w:rsidRPr="004535BF" w:rsidRDefault="004535BF" w:rsidP="004535BF">
      <w:pPr>
        <w:spacing w:after="0" w:line="259" w:lineRule="auto"/>
        <w:ind w:left="1258" w:right="0" w:firstLine="0"/>
        <w:rPr>
          <w:rFonts w:ascii="Tahoma" w:hAnsi="Tahoma" w:cs="Tahoma"/>
        </w:rPr>
      </w:pPr>
      <w:r w:rsidRPr="004535BF">
        <w:rPr>
          <w:rFonts w:ascii="Tahoma" w:hAnsi="Tahoma" w:cs="Tahoma"/>
        </w:rPr>
        <w:t xml:space="preserve"> </w:t>
      </w:r>
    </w:p>
    <w:p w:rsidR="004535BF" w:rsidRPr="004535BF" w:rsidRDefault="004535BF" w:rsidP="004535BF">
      <w:pPr>
        <w:tabs>
          <w:tab w:val="center" w:pos="708"/>
          <w:tab w:val="center" w:pos="4007"/>
        </w:tabs>
        <w:ind w:left="0" w:right="0" w:firstLine="0"/>
        <w:rPr>
          <w:rFonts w:ascii="Tahoma" w:hAnsi="Tahoma" w:cs="Tahoma"/>
        </w:rPr>
      </w:pPr>
      <w:r w:rsidRPr="004535BF">
        <w:rPr>
          <w:rFonts w:ascii="Tahoma" w:eastAsia="Calibri" w:hAnsi="Tahoma" w:cs="Tahoma"/>
          <w:sz w:val="22"/>
        </w:rPr>
        <w:tab/>
      </w:r>
      <w:r w:rsidRPr="004535BF">
        <w:rPr>
          <w:rFonts w:ascii="Tahoma" w:hAnsi="Tahoma" w:cs="Tahoma"/>
        </w:rPr>
        <w:t xml:space="preserve"> </w:t>
      </w:r>
      <w:r w:rsidRPr="004535BF">
        <w:rPr>
          <w:rFonts w:ascii="Tahoma" w:hAnsi="Tahoma" w:cs="Tahoma"/>
        </w:rPr>
        <w:tab/>
        <w:t xml:space="preserve">This policy has been drawn up within the context of: </w:t>
      </w:r>
    </w:p>
    <w:p w:rsidR="004535BF" w:rsidRPr="004535BF" w:rsidRDefault="004535BF" w:rsidP="004535BF">
      <w:pPr>
        <w:numPr>
          <w:ilvl w:val="2"/>
          <w:numId w:val="3"/>
        </w:numPr>
        <w:ind w:hanging="360"/>
        <w:rPr>
          <w:rFonts w:ascii="Tahoma" w:hAnsi="Tahoma" w:cs="Tahoma"/>
        </w:rPr>
      </w:pPr>
      <w:r w:rsidRPr="004535BF">
        <w:rPr>
          <w:rFonts w:ascii="Tahoma" w:hAnsi="Tahoma" w:cs="Tahoma"/>
        </w:rPr>
        <w:t xml:space="preserve">Freedom of Information Policy </w:t>
      </w:r>
    </w:p>
    <w:p w:rsidR="004535BF" w:rsidRPr="004535BF" w:rsidRDefault="004535BF" w:rsidP="004535BF">
      <w:pPr>
        <w:numPr>
          <w:ilvl w:val="2"/>
          <w:numId w:val="3"/>
        </w:numPr>
        <w:ind w:hanging="360"/>
        <w:rPr>
          <w:rFonts w:ascii="Tahoma" w:hAnsi="Tahoma" w:cs="Tahoma"/>
        </w:rPr>
      </w:pPr>
      <w:r w:rsidRPr="004535BF">
        <w:rPr>
          <w:rFonts w:ascii="Tahoma" w:hAnsi="Tahoma" w:cs="Tahoma"/>
        </w:rPr>
        <w:lastRenderedPageBreak/>
        <w:t xml:space="preserve">Data Protection Policy </w:t>
      </w:r>
    </w:p>
    <w:p w:rsidR="004535BF" w:rsidRPr="004535BF" w:rsidRDefault="004535BF" w:rsidP="004535BF">
      <w:pPr>
        <w:numPr>
          <w:ilvl w:val="2"/>
          <w:numId w:val="3"/>
        </w:numPr>
        <w:ind w:hanging="360"/>
        <w:rPr>
          <w:rFonts w:ascii="Tahoma" w:hAnsi="Tahoma" w:cs="Tahoma"/>
        </w:rPr>
      </w:pPr>
      <w:r w:rsidRPr="004535BF">
        <w:rPr>
          <w:rFonts w:ascii="Tahoma" w:hAnsi="Tahoma" w:cs="Tahoma"/>
        </w:rPr>
        <w:t xml:space="preserve">and with other legislation or regulations (including audit, equal opportunities and ethics) affecting the school. </w:t>
      </w:r>
    </w:p>
    <w:p w:rsidR="004535BF" w:rsidRPr="004535BF" w:rsidRDefault="004535BF" w:rsidP="004535BF">
      <w:pPr>
        <w:spacing w:after="285" w:line="240" w:lineRule="auto"/>
        <w:ind w:left="708" w:right="8427" w:firstLine="0"/>
        <w:rPr>
          <w:rFonts w:ascii="Tahoma" w:hAnsi="Tahoma" w:cs="Tahoma"/>
        </w:rPr>
      </w:pPr>
      <w:r w:rsidRPr="004535BF">
        <w:rPr>
          <w:rFonts w:ascii="Tahoma" w:hAnsi="Tahoma" w:cs="Tahoma"/>
        </w:rPr>
        <w:t xml:space="preserve">  </w:t>
      </w:r>
    </w:p>
    <w:p w:rsidR="004535BF" w:rsidRPr="004535BF" w:rsidRDefault="004535BF" w:rsidP="004535BF">
      <w:pPr>
        <w:spacing w:after="228"/>
        <w:ind w:left="703"/>
        <w:rPr>
          <w:rFonts w:ascii="Tahoma" w:hAnsi="Tahoma" w:cs="Tahoma"/>
          <w:b/>
        </w:rPr>
      </w:pPr>
      <w:r w:rsidRPr="004535BF">
        <w:rPr>
          <w:rFonts w:ascii="Tahoma" w:hAnsi="Tahoma" w:cs="Tahoma"/>
          <w:b/>
        </w:rPr>
        <w:t xml:space="preserve">Approved by </w:t>
      </w:r>
      <w:r w:rsidRPr="004535BF">
        <w:rPr>
          <w:rFonts w:ascii="Tahoma" w:hAnsi="Tahoma" w:cs="Tahoma"/>
          <w:b/>
        </w:rPr>
        <w:t>H&amp;S and Attendance Committee</w:t>
      </w:r>
      <w:r w:rsidRPr="004535BF">
        <w:rPr>
          <w:rFonts w:ascii="Tahoma" w:hAnsi="Tahoma" w:cs="Tahoma"/>
          <w:b/>
        </w:rPr>
        <w:t xml:space="preserve"> on </w:t>
      </w:r>
    </w:p>
    <w:p w:rsidR="004535BF" w:rsidRPr="004535BF" w:rsidRDefault="004535BF" w:rsidP="004535BF">
      <w:pPr>
        <w:spacing w:after="228"/>
        <w:ind w:left="703"/>
        <w:rPr>
          <w:rFonts w:ascii="Tahoma" w:hAnsi="Tahoma" w:cs="Tahoma"/>
          <w:b/>
        </w:rPr>
      </w:pPr>
      <w:r w:rsidRPr="004535BF">
        <w:rPr>
          <w:rFonts w:ascii="Tahoma" w:hAnsi="Tahoma" w:cs="Tahoma"/>
          <w:b/>
        </w:rPr>
        <w:t>24</w:t>
      </w:r>
      <w:r w:rsidRPr="004535BF">
        <w:rPr>
          <w:rFonts w:ascii="Tahoma" w:hAnsi="Tahoma" w:cs="Tahoma"/>
          <w:b/>
          <w:vertAlign w:val="superscript"/>
        </w:rPr>
        <w:t>th</w:t>
      </w:r>
      <w:r w:rsidRPr="004535BF">
        <w:rPr>
          <w:rFonts w:ascii="Tahoma" w:hAnsi="Tahoma" w:cs="Tahoma"/>
          <w:b/>
        </w:rPr>
        <w:t xml:space="preserve"> June 2019</w:t>
      </w:r>
    </w:p>
    <w:p w:rsidR="004535BF" w:rsidRPr="004535BF" w:rsidRDefault="004535BF" w:rsidP="004535BF">
      <w:pPr>
        <w:spacing w:after="2" w:line="450" w:lineRule="auto"/>
        <w:ind w:left="708" w:right="9696" w:firstLine="0"/>
        <w:rPr>
          <w:rFonts w:ascii="Tahoma" w:hAnsi="Tahoma" w:cs="Tahoma"/>
        </w:rPr>
      </w:pPr>
      <w:r w:rsidRPr="004535BF">
        <w:rPr>
          <w:rFonts w:ascii="Tahoma" w:hAnsi="Tahoma" w:cs="Tahoma"/>
        </w:rPr>
        <w:t xml:space="preserve">   </w:t>
      </w:r>
    </w:p>
    <w:p w:rsidR="004535BF" w:rsidRPr="004535BF" w:rsidRDefault="004535BF" w:rsidP="004535BF">
      <w:pPr>
        <w:spacing w:after="0" w:line="450" w:lineRule="auto"/>
        <w:ind w:left="708" w:right="9696" w:firstLine="0"/>
        <w:rPr>
          <w:rFonts w:ascii="Tahoma" w:hAnsi="Tahoma" w:cs="Tahoma"/>
        </w:rPr>
      </w:pPr>
      <w:r w:rsidRPr="004535BF">
        <w:rPr>
          <w:rFonts w:ascii="Tahoma" w:hAnsi="Tahoma" w:cs="Tahoma"/>
        </w:rPr>
        <w:t xml:space="preserve">       </w:t>
      </w:r>
    </w:p>
    <w:p w:rsidR="004535BF" w:rsidRPr="004535BF" w:rsidRDefault="004535BF" w:rsidP="004535BF">
      <w:pPr>
        <w:spacing w:after="0" w:line="259" w:lineRule="auto"/>
        <w:ind w:left="708" w:right="0" w:firstLine="0"/>
        <w:rPr>
          <w:rFonts w:ascii="Tahoma" w:hAnsi="Tahoma" w:cs="Tahoma"/>
        </w:rPr>
      </w:pPr>
    </w:p>
    <w:p w:rsidR="004535BF" w:rsidRPr="004535BF" w:rsidRDefault="004535BF" w:rsidP="004535BF">
      <w:pPr>
        <w:spacing w:after="0" w:line="259" w:lineRule="auto"/>
        <w:ind w:left="0" w:right="0" w:firstLine="0"/>
        <w:rPr>
          <w:rFonts w:ascii="Tahoma" w:hAnsi="Tahoma" w:cs="Tahoma"/>
        </w:rPr>
      </w:pPr>
      <w:r w:rsidRPr="004535BF">
        <w:rPr>
          <w:rFonts w:ascii="Tahoma" w:hAnsi="Tahoma" w:cs="Tahoma"/>
        </w:rPr>
        <w:t xml:space="preserve">Extract from </w:t>
      </w:r>
      <w:hyperlink r:id="rId8">
        <w:r w:rsidRPr="004535BF">
          <w:rPr>
            <w:rFonts w:ascii="Tahoma" w:hAnsi="Tahoma" w:cs="Tahoma"/>
            <w:color w:val="0000FF"/>
            <w:u w:val="single" w:color="0000FF"/>
          </w:rPr>
          <w:t>Information Management Toolkit for Schools</w:t>
        </w:r>
      </w:hyperlink>
      <w:hyperlink r:id="rId9">
        <w:r w:rsidRPr="004535BF">
          <w:rPr>
            <w:rFonts w:ascii="Tahoma" w:hAnsi="Tahoma" w:cs="Tahoma"/>
          </w:rPr>
          <w:t xml:space="preserve"> </w:t>
        </w:r>
      </w:hyperlink>
    </w:p>
    <w:tbl>
      <w:tblPr>
        <w:tblStyle w:val="TableGrid"/>
        <w:tblW w:w="9924" w:type="dxa"/>
        <w:tblInd w:w="283" w:type="dxa"/>
        <w:tblCellMar>
          <w:top w:w="11" w:type="dxa"/>
          <w:left w:w="106" w:type="dxa"/>
          <w:bottom w:w="0" w:type="dxa"/>
          <w:right w:w="52" w:type="dxa"/>
        </w:tblCellMar>
        <w:tblLook w:val="04A0" w:firstRow="1" w:lastRow="0" w:firstColumn="1" w:lastColumn="0" w:noHBand="0" w:noVBand="1"/>
      </w:tblPr>
      <w:tblGrid>
        <w:gridCol w:w="1846"/>
        <w:gridCol w:w="1983"/>
        <w:gridCol w:w="1416"/>
        <w:gridCol w:w="2127"/>
        <w:gridCol w:w="2552"/>
      </w:tblGrid>
      <w:tr w:rsidR="004535BF" w:rsidRPr="004535BF" w:rsidTr="0099458F">
        <w:trPr>
          <w:trHeight w:val="283"/>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BFBFBF"/>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b/>
              </w:rPr>
              <w:t xml:space="preserve">Governing Board </w:t>
            </w:r>
          </w:p>
        </w:tc>
      </w:tr>
      <w:tr w:rsidR="004535BF" w:rsidRPr="004535BF" w:rsidTr="0099458F">
        <w:trPr>
          <w:trHeight w:val="769"/>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b/>
                <w:sz w:val="22"/>
              </w:rPr>
              <w:t xml:space="preserve">Basic file description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b/>
                <w:sz w:val="22"/>
              </w:rPr>
              <w:t xml:space="preserve">Data Protection Issues </w:t>
            </w: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b/>
                <w:sz w:val="22"/>
              </w:rPr>
              <w:t xml:space="preserve">Statutory Provisions </w:t>
            </w: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b/>
                <w:sz w:val="22"/>
              </w:rPr>
              <w:t xml:space="preserve">Retention Period  </w:t>
            </w: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b/>
                <w:sz w:val="22"/>
              </w:rPr>
              <w:t xml:space="preserve">Action at the end of administrative life of the record </w:t>
            </w:r>
          </w:p>
        </w:tc>
      </w:tr>
      <w:tr w:rsidR="004535BF" w:rsidRPr="004535BF" w:rsidTr="0099458F">
        <w:trPr>
          <w:trHeight w:val="2036"/>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Agendas for </w:t>
            </w:r>
          </w:p>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Governing </w:t>
            </w:r>
          </w:p>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Board meetings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19" w:firstLine="0"/>
              <w:rPr>
                <w:rFonts w:ascii="Tahoma" w:hAnsi="Tahoma" w:cs="Tahoma"/>
              </w:rPr>
            </w:pPr>
            <w:r w:rsidRPr="004535BF">
              <w:rPr>
                <w:rFonts w:ascii="Tahoma" w:hAnsi="Tahoma" w:cs="Tahoma"/>
                <w:sz w:val="22"/>
              </w:rPr>
              <w:t xml:space="preserve">There may be data protection issues if the meeting is dealing with confidential issues relating to staff </w:t>
            </w: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14" w:firstLine="0"/>
              <w:rPr>
                <w:rFonts w:ascii="Tahoma" w:hAnsi="Tahoma" w:cs="Tahoma"/>
              </w:rPr>
            </w:pPr>
            <w:r w:rsidRPr="004535BF">
              <w:rPr>
                <w:rFonts w:ascii="Tahoma" w:hAnsi="Tahoma" w:cs="Tahoma"/>
                <w:sz w:val="22"/>
              </w:rPr>
              <w:t xml:space="preserve">One copy should be retained with the master set of minutes. All other copies can be disposed of. </w:t>
            </w: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Secure Disposal*** </w:t>
            </w:r>
          </w:p>
        </w:tc>
      </w:tr>
      <w:tr w:rsidR="004535BF" w:rsidRPr="004535BF" w:rsidTr="0099458F">
        <w:trPr>
          <w:trHeight w:val="2033"/>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2" w:line="238" w:lineRule="auto"/>
              <w:ind w:left="0" w:right="0" w:firstLine="0"/>
              <w:rPr>
                <w:rFonts w:ascii="Tahoma" w:hAnsi="Tahoma" w:cs="Tahoma"/>
              </w:rPr>
            </w:pPr>
            <w:r w:rsidRPr="004535BF">
              <w:rPr>
                <w:rFonts w:ascii="Tahoma" w:hAnsi="Tahoma" w:cs="Tahoma"/>
                <w:sz w:val="22"/>
              </w:rPr>
              <w:t xml:space="preserve">Minutes of Governing </w:t>
            </w:r>
          </w:p>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Board meetings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19" w:firstLine="0"/>
              <w:rPr>
                <w:rFonts w:ascii="Tahoma" w:hAnsi="Tahoma" w:cs="Tahoma"/>
              </w:rPr>
            </w:pPr>
            <w:r w:rsidRPr="004535BF">
              <w:rPr>
                <w:rFonts w:ascii="Tahoma" w:hAnsi="Tahoma" w:cs="Tahoma"/>
                <w:sz w:val="22"/>
              </w:rPr>
              <w:t xml:space="preserve">There may be data protection issues if the meeting is dealing with confidential issues relating to staff </w:t>
            </w: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 </w:t>
            </w:r>
          </w:p>
        </w:tc>
      </w:tr>
      <w:tr w:rsidR="004535BF" w:rsidRPr="004535BF" w:rsidTr="0099458F">
        <w:trPr>
          <w:trHeight w:val="1529"/>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Principal Set (signed) </w:t>
            </w: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Permanent </w:t>
            </w: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2" w:line="239" w:lineRule="auto"/>
              <w:ind w:left="2" w:right="0" w:firstLine="0"/>
              <w:rPr>
                <w:rFonts w:ascii="Tahoma" w:hAnsi="Tahoma" w:cs="Tahoma"/>
              </w:rPr>
            </w:pPr>
            <w:r w:rsidRPr="004535BF">
              <w:rPr>
                <w:rFonts w:ascii="Tahoma" w:hAnsi="Tahoma" w:cs="Tahoma"/>
                <w:sz w:val="22"/>
              </w:rPr>
              <w:t xml:space="preserve">If the school is unable to store these then they should be offered to </w:t>
            </w:r>
            <w:r w:rsidRPr="004535BF">
              <w:rPr>
                <w:rFonts w:ascii="Tahoma" w:hAnsi="Tahoma" w:cs="Tahoma"/>
                <w:color w:val="0000FF"/>
                <w:sz w:val="22"/>
                <w:u w:val="single" w:color="0000FF"/>
              </w:rPr>
              <w:t>the LA</w:t>
            </w:r>
          </w:p>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(any records older than </w:t>
            </w:r>
          </w:p>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6 years) </w:t>
            </w:r>
          </w:p>
        </w:tc>
      </w:tr>
      <w:tr w:rsidR="004535BF" w:rsidRPr="004535BF" w:rsidTr="0099458F">
        <w:trPr>
          <w:trHeight w:val="2539"/>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Reports </w:t>
            </w:r>
          </w:p>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presented to the </w:t>
            </w:r>
          </w:p>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Governing </w:t>
            </w:r>
          </w:p>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Board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There may be data protection issues if the report deals with confidential issues relating to staff </w:t>
            </w: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15" w:firstLine="0"/>
              <w:rPr>
                <w:rFonts w:ascii="Tahoma" w:hAnsi="Tahoma" w:cs="Tahoma"/>
              </w:rPr>
            </w:pPr>
            <w:r w:rsidRPr="004535BF">
              <w:rPr>
                <w:rFonts w:ascii="Tahoma" w:hAnsi="Tahoma" w:cs="Tahoma"/>
                <w:sz w:val="22"/>
              </w:rPr>
              <w:t xml:space="preserve">Reports should be kept for a minimum of 6 years. However, if the minutes refer directly to individual reports then the reports should be kept permanently.  </w:t>
            </w: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Secure disposal or retain with the signed set of minutes. </w:t>
            </w:r>
          </w:p>
        </w:tc>
      </w:tr>
      <w:tr w:rsidR="004535BF" w:rsidRPr="004535BF" w:rsidTr="0099458F">
        <w:trPr>
          <w:trHeight w:val="1781"/>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lastRenderedPageBreak/>
              <w:t xml:space="preserve">Instrument of Government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No </w:t>
            </w: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Permanent </w:t>
            </w: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These should be retained in the school whilst the school is open and then offered to the </w:t>
            </w:r>
            <w:r w:rsidRPr="004535BF">
              <w:rPr>
                <w:rFonts w:ascii="Tahoma" w:hAnsi="Tahoma" w:cs="Tahoma"/>
                <w:color w:val="0000FF"/>
                <w:sz w:val="22"/>
                <w:u w:val="single" w:color="0000FF"/>
              </w:rPr>
              <w:t>the LA</w:t>
            </w:r>
            <w:hyperlink r:id="rId10">
              <w:r w:rsidRPr="004535BF">
                <w:rPr>
                  <w:rFonts w:ascii="Tahoma" w:hAnsi="Tahoma" w:cs="Tahoma"/>
                  <w:sz w:val="22"/>
                </w:rPr>
                <w:t xml:space="preserve"> </w:t>
              </w:r>
            </w:hyperlink>
            <w:r w:rsidRPr="004535BF">
              <w:rPr>
                <w:rFonts w:ascii="Tahoma" w:hAnsi="Tahoma" w:cs="Tahoma"/>
                <w:sz w:val="22"/>
              </w:rPr>
              <w:t xml:space="preserve">when the school closes. </w:t>
            </w:r>
          </w:p>
        </w:tc>
      </w:tr>
      <w:tr w:rsidR="004535BF" w:rsidRPr="004535BF" w:rsidTr="0099458F">
        <w:trPr>
          <w:trHeight w:val="1274"/>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Action plans created and administered by the Governing Board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No </w:t>
            </w: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jc w:val="both"/>
              <w:rPr>
                <w:rFonts w:ascii="Tahoma" w:hAnsi="Tahoma" w:cs="Tahoma"/>
              </w:rPr>
            </w:pPr>
            <w:r w:rsidRPr="004535BF">
              <w:rPr>
                <w:rFonts w:ascii="Tahoma" w:hAnsi="Tahoma" w:cs="Tahoma"/>
                <w:sz w:val="22"/>
              </w:rPr>
              <w:t xml:space="preserve">Life of the action plan + 3 years </w:t>
            </w: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Secure Disposal </w:t>
            </w:r>
          </w:p>
        </w:tc>
      </w:tr>
      <w:tr w:rsidR="004535BF" w:rsidRPr="004535BF" w:rsidTr="0099458F">
        <w:trPr>
          <w:trHeight w:val="1023"/>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Policy documents created and administered by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No </w:t>
            </w: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Life of the policy + 3 years </w:t>
            </w: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2" w:right="0" w:firstLine="0"/>
              <w:rPr>
                <w:rFonts w:ascii="Tahoma" w:hAnsi="Tahoma" w:cs="Tahoma"/>
              </w:rPr>
            </w:pPr>
            <w:r w:rsidRPr="004535BF">
              <w:rPr>
                <w:rFonts w:ascii="Tahoma" w:hAnsi="Tahoma" w:cs="Tahoma"/>
                <w:sz w:val="22"/>
              </w:rPr>
              <w:t xml:space="preserve">Secure Disposal </w:t>
            </w:r>
          </w:p>
        </w:tc>
      </w:tr>
      <w:tr w:rsidR="004535BF" w:rsidRPr="004535BF" w:rsidTr="0099458F">
        <w:trPr>
          <w:trHeight w:val="516"/>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the Governing Board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160" w:line="259" w:lineRule="auto"/>
              <w:ind w:left="0" w:right="0" w:firstLine="0"/>
              <w:rPr>
                <w:rFonts w:ascii="Tahoma" w:hAnsi="Tahoma" w:cs="Tahoma"/>
              </w:rPr>
            </w:pP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160" w:line="259" w:lineRule="auto"/>
              <w:ind w:left="0" w:right="0" w:firstLine="0"/>
              <w:rPr>
                <w:rFonts w:ascii="Tahoma" w:hAnsi="Tahoma" w:cs="Tahoma"/>
              </w:rPr>
            </w:pP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160" w:line="259" w:lineRule="auto"/>
              <w:ind w:left="0" w:right="0" w:firstLine="0"/>
              <w:rPr>
                <w:rFonts w:ascii="Tahoma" w:hAnsi="Tahoma" w:cs="Tahoma"/>
              </w:rPr>
            </w:pP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160" w:line="259" w:lineRule="auto"/>
              <w:ind w:left="0" w:right="0" w:firstLine="0"/>
              <w:rPr>
                <w:rFonts w:ascii="Tahoma" w:hAnsi="Tahoma" w:cs="Tahoma"/>
              </w:rPr>
            </w:pPr>
          </w:p>
        </w:tc>
      </w:tr>
      <w:tr w:rsidR="004535BF" w:rsidRPr="004535BF" w:rsidTr="0099458F">
        <w:trPr>
          <w:trHeight w:val="2287"/>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39" w:lineRule="auto"/>
              <w:ind w:left="0" w:right="0" w:firstLine="0"/>
              <w:rPr>
                <w:rFonts w:ascii="Tahoma" w:hAnsi="Tahoma" w:cs="Tahoma"/>
              </w:rPr>
            </w:pPr>
            <w:r w:rsidRPr="004535BF">
              <w:rPr>
                <w:rFonts w:ascii="Tahoma" w:hAnsi="Tahoma" w:cs="Tahoma"/>
                <w:sz w:val="22"/>
              </w:rPr>
              <w:t xml:space="preserve">Records relating to complaints dealt with by the </w:t>
            </w:r>
          </w:p>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Governing </w:t>
            </w:r>
          </w:p>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Board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Yes </w:t>
            </w: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46" w:firstLine="0"/>
              <w:rPr>
                <w:rFonts w:ascii="Tahoma" w:hAnsi="Tahoma" w:cs="Tahoma"/>
              </w:rPr>
            </w:pPr>
            <w:r w:rsidRPr="004535BF">
              <w:rPr>
                <w:rFonts w:ascii="Tahoma" w:hAnsi="Tahoma" w:cs="Tahoma"/>
                <w:sz w:val="22"/>
              </w:rPr>
              <w:t xml:space="preserve">Date of the resolution of the complaint + a minimum of 6 years then review for further retention in case of contentious disputes </w:t>
            </w: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Secure Disposal </w:t>
            </w:r>
          </w:p>
        </w:tc>
      </w:tr>
      <w:tr w:rsidR="004535BF" w:rsidRPr="004535BF" w:rsidTr="0099458F">
        <w:trPr>
          <w:trHeight w:val="2033"/>
        </w:trPr>
        <w:tc>
          <w:tcPr>
            <w:tcW w:w="184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39" w:lineRule="auto"/>
              <w:ind w:left="0" w:right="0" w:firstLine="0"/>
              <w:rPr>
                <w:rFonts w:ascii="Tahoma" w:hAnsi="Tahoma" w:cs="Tahoma"/>
              </w:rPr>
            </w:pPr>
            <w:r w:rsidRPr="004535BF">
              <w:rPr>
                <w:rFonts w:ascii="Tahoma" w:hAnsi="Tahoma" w:cs="Tahoma"/>
                <w:sz w:val="22"/>
              </w:rPr>
              <w:t xml:space="preserve">Proposal concerning the change of a maintained school including Specialist Status </w:t>
            </w:r>
          </w:p>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Schools and </w:t>
            </w:r>
          </w:p>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Academies </w:t>
            </w:r>
          </w:p>
        </w:tc>
        <w:tc>
          <w:tcPr>
            <w:tcW w:w="1983"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No </w:t>
            </w:r>
          </w:p>
        </w:tc>
        <w:tc>
          <w:tcPr>
            <w:tcW w:w="1416"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Date proposal accepted or declined + 3 years </w:t>
            </w:r>
          </w:p>
        </w:tc>
        <w:tc>
          <w:tcPr>
            <w:tcW w:w="2552" w:type="dxa"/>
            <w:tcBorders>
              <w:top w:val="single" w:sz="4" w:space="0" w:color="000000"/>
              <w:left w:val="single" w:sz="4" w:space="0" w:color="000000"/>
              <w:bottom w:val="single" w:sz="4" w:space="0" w:color="000000"/>
              <w:right w:val="single" w:sz="4" w:space="0" w:color="000000"/>
            </w:tcBorders>
          </w:tcPr>
          <w:p w:rsidR="004535BF" w:rsidRPr="004535BF" w:rsidRDefault="004535BF" w:rsidP="0099458F">
            <w:pPr>
              <w:spacing w:after="0" w:line="259" w:lineRule="auto"/>
              <w:ind w:left="0" w:right="0" w:firstLine="0"/>
              <w:rPr>
                <w:rFonts w:ascii="Tahoma" w:hAnsi="Tahoma" w:cs="Tahoma"/>
              </w:rPr>
            </w:pPr>
            <w:r w:rsidRPr="004535BF">
              <w:rPr>
                <w:rFonts w:ascii="Tahoma" w:hAnsi="Tahoma" w:cs="Tahoma"/>
                <w:sz w:val="22"/>
              </w:rPr>
              <w:t xml:space="preserve">Secure disposal </w:t>
            </w:r>
          </w:p>
        </w:tc>
      </w:tr>
    </w:tbl>
    <w:p w:rsidR="004535BF" w:rsidRPr="004535BF" w:rsidRDefault="004535BF" w:rsidP="004535BF">
      <w:pPr>
        <w:spacing w:after="201" w:line="259" w:lineRule="auto"/>
        <w:ind w:left="708" w:right="0" w:firstLine="0"/>
        <w:rPr>
          <w:rFonts w:ascii="Tahoma" w:hAnsi="Tahoma" w:cs="Tahoma"/>
        </w:rPr>
      </w:pPr>
      <w:r w:rsidRPr="004535BF">
        <w:rPr>
          <w:rFonts w:ascii="Tahoma" w:hAnsi="Tahoma" w:cs="Tahoma"/>
        </w:rPr>
        <w:t xml:space="preserve"> </w:t>
      </w:r>
    </w:p>
    <w:p w:rsidR="00777C30" w:rsidRDefault="004535BF" w:rsidP="004535BF">
      <w:r w:rsidRPr="004535BF">
        <w:rPr>
          <w:rFonts w:ascii="Tahoma" w:hAnsi="Tahoma" w:cs="Tahoma"/>
          <w:sz w:val="22"/>
        </w:rPr>
        <w:t>***In this context Secure Disposal should be taken to mean disposal using confidential waste bins, or i</w:t>
      </w:r>
      <w:r>
        <w:rPr>
          <w:rFonts w:ascii="Tahoma" w:hAnsi="Tahoma" w:cs="Tahoma"/>
          <w:sz w:val="22"/>
        </w:rPr>
        <w:t>f</w:t>
      </w:r>
      <w:r w:rsidRPr="004535BF">
        <w:rPr>
          <w:rFonts w:ascii="Tahoma" w:hAnsi="Tahoma" w:cs="Tahoma"/>
          <w:sz w:val="22"/>
        </w:rPr>
        <w:t xml:space="preserve"> the school has the faci</w:t>
      </w:r>
      <w:r>
        <w:rPr>
          <w:sz w:val="22"/>
        </w:rPr>
        <w:t>lity, shredding usin</w:t>
      </w:r>
      <w:r>
        <w:rPr>
          <w:sz w:val="22"/>
        </w:rPr>
        <w:t xml:space="preserve">g a cross cutter shredder. </w:t>
      </w:r>
    </w:p>
    <w:sectPr w:rsidR="00777C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59" w:rsidRDefault="00177F59" w:rsidP="00272B8D">
      <w:pPr>
        <w:spacing w:after="0" w:line="240" w:lineRule="auto"/>
      </w:pPr>
      <w:r>
        <w:separator/>
      </w:r>
    </w:p>
  </w:endnote>
  <w:endnote w:type="continuationSeparator" w:id="0">
    <w:p w:rsidR="00177F59" w:rsidRDefault="00177F59" w:rsidP="0027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602169"/>
      <w:docPartObj>
        <w:docPartGallery w:val="Page Numbers (Bottom of Page)"/>
        <w:docPartUnique/>
      </w:docPartObj>
    </w:sdtPr>
    <w:sdtEndPr>
      <w:rPr>
        <w:noProof/>
      </w:rPr>
    </w:sdtEndPr>
    <w:sdtContent>
      <w:p w:rsidR="00D51037" w:rsidRDefault="00D51037">
        <w:pPr>
          <w:pStyle w:val="Footer"/>
          <w:jc w:val="center"/>
        </w:pPr>
        <w:r>
          <w:fldChar w:fldCharType="begin"/>
        </w:r>
        <w:r>
          <w:instrText xml:space="preserve"> PAGE   \* MERGEFORMAT </w:instrText>
        </w:r>
        <w:r>
          <w:fldChar w:fldCharType="separate"/>
        </w:r>
        <w:r w:rsidR="003459CF">
          <w:rPr>
            <w:noProof/>
          </w:rPr>
          <w:t>4</w:t>
        </w:r>
        <w:r>
          <w:rPr>
            <w:noProof/>
          </w:rPr>
          <w:fldChar w:fldCharType="end"/>
        </w:r>
      </w:p>
    </w:sdtContent>
  </w:sdt>
  <w:p w:rsidR="00D51037" w:rsidRDefault="00D51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59" w:rsidRDefault="00177F59" w:rsidP="00272B8D">
      <w:pPr>
        <w:spacing w:after="0" w:line="240" w:lineRule="auto"/>
      </w:pPr>
      <w:r>
        <w:separator/>
      </w:r>
    </w:p>
  </w:footnote>
  <w:footnote w:type="continuationSeparator" w:id="0">
    <w:p w:rsidR="00177F59" w:rsidRDefault="00177F59" w:rsidP="00272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D86"/>
    <w:multiLevelType w:val="hybridMultilevel"/>
    <w:tmpl w:val="E0D26650"/>
    <w:lvl w:ilvl="0" w:tplc="729E7F5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6CFE70">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849E04">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BC541E">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AA42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AA11FE">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84E4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F8714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96260C">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C04288"/>
    <w:multiLevelType w:val="multilevel"/>
    <w:tmpl w:val="38103912"/>
    <w:lvl w:ilvl="0">
      <w:start w:val="1"/>
      <w:numFmt w:val="decimal"/>
      <w:lvlText w:val="%1."/>
      <w:lvlJc w:val="left"/>
      <w:pPr>
        <w:ind w:left="1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2954C3"/>
    <w:multiLevelType w:val="hybridMultilevel"/>
    <w:tmpl w:val="1BE0C1F4"/>
    <w:lvl w:ilvl="0" w:tplc="1E529F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764C82">
      <w:start w:val="1"/>
      <w:numFmt w:val="bullet"/>
      <w:lvlText w:val="o"/>
      <w:lvlJc w:val="left"/>
      <w:pPr>
        <w:ind w:left="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8E4952">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0A44AA">
      <w:start w:val="1"/>
      <w:numFmt w:val="bullet"/>
      <w:lvlText w:val="•"/>
      <w:lvlJc w:val="left"/>
      <w:pPr>
        <w:ind w:left="1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528DFA">
      <w:start w:val="1"/>
      <w:numFmt w:val="bullet"/>
      <w:lvlText w:val="o"/>
      <w:lvlJc w:val="left"/>
      <w:pPr>
        <w:ind w:left="2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C0318A">
      <w:start w:val="1"/>
      <w:numFmt w:val="bullet"/>
      <w:lvlText w:val="▪"/>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824E2C">
      <w:start w:val="1"/>
      <w:numFmt w:val="bullet"/>
      <w:lvlText w:val="•"/>
      <w:lvlJc w:val="left"/>
      <w:pPr>
        <w:ind w:left="4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705C9A">
      <w:start w:val="1"/>
      <w:numFmt w:val="bullet"/>
      <w:lvlText w:val="o"/>
      <w:lvlJc w:val="left"/>
      <w:pPr>
        <w:ind w:left="4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4881A0">
      <w:start w:val="1"/>
      <w:numFmt w:val="bullet"/>
      <w:lvlText w:val="▪"/>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BF"/>
    <w:rsid w:val="00177F59"/>
    <w:rsid w:val="00272B8D"/>
    <w:rsid w:val="003459CF"/>
    <w:rsid w:val="004535BF"/>
    <w:rsid w:val="00635E68"/>
    <w:rsid w:val="00777C30"/>
    <w:rsid w:val="00D5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CA417-7C6D-4ADC-95FD-455DA3DE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BF"/>
    <w:pPr>
      <w:spacing w:after="5" w:line="250" w:lineRule="auto"/>
      <w:ind w:left="718" w:right="718"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535BF"/>
    <w:pPr>
      <w:spacing w:after="0" w:line="240" w:lineRule="auto"/>
    </w:pPr>
    <w:rPr>
      <w:rFonts w:asciiTheme="minorHAnsi" w:eastAsiaTheme="minorEastAsia" w:hAnsiTheme="minorHAnsi"/>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72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8D"/>
    <w:rPr>
      <w:rFonts w:ascii="Arial" w:eastAsia="Arial" w:hAnsi="Arial" w:cs="Arial"/>
      <w:color w:val="000000"/>
      <w:sz w:val="24"/>
      <w:lang w:eastAsia="en-GB"/>
    </w:rPr>
  </w:style>
  <w:style w:type="paragraph" w:styleId="Footer">
    <w:name w:val="footer"/>
    <w:basedOn w:val="Normal"/>
    <w:link w:val="FooterChar"/>
    <w:uiPriority w:val="99"/>
    <w:unhideWhenUsed/>
    <w:rsid w:val="00272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8D"/>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63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68"/>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ms.org.uk/groups/public-sector/resources/134-records-management-toolkit-for-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exrecordoffice.co.uk/" TargetMode="External"/><Relationship Id="rId4" Type="http://schemas.openxmlformats.org/officeDocument/2006/relationships/webSettings" Target="webSettings.xml"/><Relationship Id="rId9" Type="http://schemas.openxmlformats.org/officeDocument/2006/relationships/hyperlink" Target="http://www.irms.org.uk/groups/public-sector/resources/134-records-management-toolkit-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barlows-ao</dc:creator>
  <cp:keywords/>
  <dc:description/>
  <cp:lastModifiedBy>barlows-ao</cp:lastModifiedBy>
  <cp:revision>5</cp:revision>
  <cp:lastPrinted>2019-06-06T13:48:00Z</cp:lastPrinted>
  <dcterms:created xsi:type="dcterms:W3CDTF">2019-06-06T13:39:00Z</dcterms:created>
  <dcterms:modified xsi:type="dcterms:W3CDTF">2019-06-06T13:49:00Z</dcterms:modified>
</cp:coreProperties>
</file>