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E9" w:rsidRDefault="00C63543" w:rsidP="00CC646C">
      <w:pPr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lang w:eastAsia="en-GB"/>
        </w:rPr>
        <w:tab/>
        <w:t>22</w:t>
      </w:r>
      <w:r w:rsidR="00D946E9">
        <w:rPr>
          <w:rFonts w:ascii="Tahoma" w:eastAsia="Times New Roman" w:hAnsi="Tahoma" w:cs="Tahoma"/>
          <w:color w:val="000000"/>
          <w:sz w:val="20"/>
          <w:lang w:eastAsia="en-GB"/>
        </w:rPr>
        <w:t>.05.20</w:t>
      </w:r>
    </w:p>
    <w:p w:rsid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Dear Parents and Carers,</w:t>
      </w:r>
      <w:r w:rsidR="00D946E9">
        <w:rPr>
          <w:rFonts w:ascii="Tahoma" w:eastAsia="Times New Roman" w:hAnsi="Tahoma" w:cs="Tahoma"/>
          <w:color w:val="000000"/>
          <w:sz w:val="20"/>
          <w:lang w:eastAsia="en-GB"/>
        </w:rPr>
        <w:tab/>
      </w:r>
      <w:r w:rsidR="00D946E9">
        <w:rPr>
          <w:rFonts w:ascii="Tahoma" w:eastAsia="Times New Roman" w:hAnsi="Tahoma" w:cs="Tahoma"/>
          <w:color w:val="000000"/>
          <w:sz w:val="20"/>
          <w:lang w:eastAsia="en-GB"/>
        </w:rPr>
        <w:tab/>
      </w:r>
      <w:r w:rsidR="00D946E9">
        <w:rPr>
          <w:rFonts w:ascii="Tahoma" w:eastAsia="Times New Roman" w:hAnsi="Tahoma" w:cs="Tahoma"/>
          <w:color w:val="000000"/>
          <w:sz w:val="20"/>
          <w:lang w:eastAsia="en-GB"/>
        </w:rPr>
        <w:tab/>
      </w:r>
    </w:p>
    <w:p w:rsid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b/>
          <w:color w:val="000000"/>
          <w:sz w:val="20"/>
          <w:lang w:eastAsia="en-GB"/>
        </w:rPr>
      </w:pPr>
      <w:r>
        <w:rPr>
          <w:rFonts w:ascii="Tahoma" w:eastAsia="Times New Roman" w:hAnsi="Tahoma" w:cs="Tahoma"/>
          <w:b/>
          <w:color w:val="000000"/>
          <w:sz w:val="20"/>
          <w:lang w:eastAsia="en-GB"/>
        </w:rPr>
        <w:t>Re: Hub Provision from 1</w:t>
      </w:r>
      <w:r w:rsidRPr="00CC646C">
        <w:rPr>
          <w:rFonts w:ascii="Tahoma" w:eastAsia="Times New Roman" w:hAnsi="Tahoma" w:cs="Tahoma"/>
          <w:b/>
          <w:color w:val="000000"/>
          <w:sz w:val="20"/>
          <w:vertAlign w:val="superscript"/>
          <w:lang w:eastAsia="en-GB"/>
        </w:rPr>
        <w:t>st</w:t>
      </w:r>
      <w:r>
        <w:rPr>
          <w:rFonts w:ascii="Tahoma" w:eastAsia="Times New Roman" w:hAnsi="Tahoma" w:cs="Tahoma"/>
          <w:b/>
          <w:color w:val="000000"/>
          <w:sz w:val="20"/>
          <w:lang w:eastAsia="en-GB"/>
        </w:rPr>
        <w:t xml:space="preserve"> June 2020</w:t>
      </w: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Further to the communication from Liverpool City Council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 xml:space="preserve"> last week, I am contacting you regarding the school continuing to operate as a hub. </w:t>
      </w:r>
      <w:r w:rsidR="0013127C">
        <w:rPr>
          <w:rFonts w:ascii="Tahoma" w:eastAsia="Times New Roman" w:hAnsi="Tahoma" w:cs="Tahoma"/>
          <w:color w:val="000000"/>
          <w:sz w:val="20"/>
          <w:lang w:eastAsia="en-GB"/>
        </w:rPr>
        <w:t>The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 xml:space="preserve"> school </w:t>
      </w:r>
      <w:proofErr w:type="gramStart"/>
      <w:r>
        <w:rPr>
          <w:rFonts w:ascii="Tahoma" w:eastAsia="Times New Roman" w:hAnsi="Tahoma" w:cs="Tahoma"/>
          <w:color w:val="000000"/>
          <w:sz w:val="20"/>
          <w:lang w:eastAsia="en-GB"/>
        </w:rPr>
        <w:t>will be closed</w:t>
      </w:r>
      <w:proofErr w:type="gramEnd"/>
      <w:r>
        <w:rPr>
          <w:rFonts w:ascii="Tahoma" w:eastAsia="Times New Roman" w:hAnsi="Tahoma" w:cs="Tahoma"/>
          <w:color w:val="000000"/>
          <w:sz w:val="20"/>
          <w:lang w:eastAsia="en-GB"/>
        </w:rPr>
        <w:t xml:space="preserve"> from Monday 25</w:t>
      </w:r>
      <w:r w:rsidRPr="00CC646C">
        <w:rPr>
          <w:rFonts w:ascii="Tahoma" w:eastAsia="Times New Roman" w:hAnsi="Tahoma" w:cs="Tahoma"/>
          <w:color w:val="000000"/>
          <w:sz w:val="20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 xml:space="preserve"> – Friday 29</w:t>
      </w:r>
      <w:r w:rsidRPr="00CC646C">
        <w:rPr>
          <w:rFonts w:ascii="Tahoma" w:eastAsia="Times New Roman" w:hAnsi="Tahoma" w:cs="Tahoma"/>
          <w:color w:val="000000"/>
          <w:sz w:val="20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 xml:space="preserve"> May</w:t>
      </w:r>
      <w:r w:rsidR="0013127C">
        <w:rPr>
          <w:rFonts w:ascii="Tahoma" w:eastAsia="Times New Roman" w:hAnsi="Tahoma" w:cs="Tahoma"/>
          <w:color w:val="000000"/>
          <w:sz w:val="20"/>
          <w:lang w:eastAsia="en-GB"/>
        </w:rPr>
        <w:t>. It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 xml:space="preserve"> will continue to operate </w:t>
      </w:r>
      <w:r w:rsidR="0013127C">
        <w:rPr>
          <w:rFonts w:ascii="Tahoma" w:eastAsia="Times New Roman" w:hAnsi="Tahoma" w:cs="Tahoma"/>
          <w:color w:val="000000"/>
          <w:sz w:val="20"/>
          <w:lang w:eastAsia="en-GB"/>
        </w:rPr>
        <w:t>as a hub from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 xml:space="preserve"> Monday 1</w:t>
      </w:r>
      <w:r w:rsidRPr="00CC646C">
        <w:rPr>
          <w:rFonts w:ascii="Tahoma" w:eastAsia="Times New Roman" w:hAnsi="Tahoma" w:cs="Tahoma"/>
          <w:color w:val="000000"/>
          <w:sz w:val="20"/>
          <w:vertAlign w:val="superscript"/>
          <w:lang w:eastAsia="en-GB"/>
        </w:rPr>
        <w:t>st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 xml:space="preserve"> June. </w:t>
      </w: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The school has been operating as a hub for the children of key workers and for our vulnerable pupils throughout the lock-down. From 1st June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>,</w:t>
      </w: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>we</w:t>
      </w: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will continue to operate in this capacity with</w:t>
      </w:r>
      <w:r w:rsidR="00DE4E36">
        <w:rPr>
          <w:rFonts w:ascii="Tahoma" w:eastAsia="Times New Roman" w:hAnsi="Tahoma" w:cs="Tahoma"/>
          <w:color w:val="000000"/>
          <w:sz w:val="20"/>
          <w:lang w:eastAsia="en-GB"/>
        </w:rPr>
        <w:t xml:space="preserve"> the</w:t>
      </w: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following changes:</w:t>
      </w: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1) The hub will be accessible to the children of key workers from </w:t>
      </w:r>
      <w:proofErr w:type="spellStart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Barlows</w:t>
      </w:r>
      <w:proofErr w:type="spellEnd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Primary School </w:t>
      </w:r>
      <w:r w:rsidRPr="00CC646C">
        <w:rPr>
          <w:rFonts w:ascii="Tahoma" w:eastAsia="Times New Roman" w:hAnsi="Tahoma" w:cs="Tahoma"/>
          <w:b/>
          <w:bCs/>
          <w:color w:val="000000"/>
          <w:sz w:val="20"/>
          <w:u w:val="single"/>
          <w:bdr w:val="none" w:sz="0" w:space="0" w:color="auto" w:frame="1"/>
          <w:shd w:val="clear" w:color="auto" w:fill="FFFFFF"/>
          <w:lang w:eastAsia="en-GB"/>
        </w:rPr>
        <w:t>only</w:t>
      </w: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 - previously we have taken in children from across the city.</w:t>
      </w: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2) The hub will change its operating hours to be in-line with normal school times and will be open from </w:t>
      </w:r>
      <w:r w:rsidRPr="00CC646C">
        <w:rPr>
          <w:rFonts w:ascii="Tahoma" w:eastAsia="Times New Roman" w:hAnsi="Tahoma" w:cs="Tahoma"/>
          <w:b/>
          <w:bCs/>
          <w:color w:val="000000"/>
          <w:sz w:val="20"/>
          <w:lang w:eastAsia="en-GB"/>
        </w:rPr>
        <w:t>8:45am - 3:30pm.</w:t>
      </w: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The hub will continue to operate as a childcare provision. The school will not be operating with traditional class based lessons.</w:t>
      </w:r>
    </w:p>
    <w:p w:rsidR="00C63543" w:rsidRDefault="00C63543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63543" w:rsidRDefault="00C63543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63543" w:rsidRPr="00552D29" w:rsidRDefault="00C63543" w:rsidP="00C63543">
      <w:pPr>
        <w:spacing w:line="360" w:lineRule="auto"/>
        <w:rPr>
          <w:rFonts w:ascii="Tahoma" w:hAnsi="Tahoma" w:cs="Tahoma"/>
          <w:b/>
          <w:sz w:val="20"/>
          <w:u w:val="single"/>
        </w:rPr>
      </w:pPr>
      <w:r w:rsidRPr="00552D29">
        <w:rPr>
          <w:rFonts w:ascii="Tahoma" w:hAnsi="Tahoma" w:cs="Tahoma"/>
          <w:b/>
          <w:sz w:val="20"/>
          <w:u w:val="single"/>
        </w:rPr>
        <w:t>Please take note of the following:</w:t>
      </w:r>
    </w:p>
    <w:p w:rsidR="00C63543" w:rsidRDefault="00C63543" w:rsidP="00C63543">
      <w:pPr>
        <w:spacing w:line="360" w:lineRule="auto"/>
        <w:rPr>
          <w:rFonts w:ascii="Tahoma" w:hAnsi="Tahoma" w:cs="Tahoma"/>
          <w:sz w:val="20"/>
        </w:rPr>
      </w:pPr>
    </w:p>
    <w:p w:rsidR="00C63543" w:rsidRDefault="00C63543" w:rsidP="00C63543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Pupils are to continue wearing their own clothes from home. This is to promote the wearing of clean clothes every day. This is not always possible with school uniform.</w:t>
      </w:r>
    </w:p>
    <w:p w:rsidR="00C63543" w:rsidRDefault="00C63543" w:rsidP="00C63543">
      <w:pPr>
        <w:pStyle w:val="ListParagraph"/>
        <w:spacing w:line="360" w:lineRule="auto"/>
        <w:rPr>
          <w:rFonts w:ascii="Tahoma" w:hAnsi="Tahoma" w:cs="Tahoma"/>
          <w:sz w:val="20"/>
        </w:rPr>
      </w:pPr>
    </w:p>
    <w:p w:rsidR="00C63543" w:rsidRDefault="00C63543" w:rsidP="00C63543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Pupils </w:t>
      </w:r>
      <w:proofErr w:type="gramStart"/>
      <w:r>
        <w:rPr>
          <w:rFonts w:ascii="Tahoma" w:hAnsi="Tahoma" w:cs="Tahoma"/>
          <w:sz w:val="20"/>
        </w:rPr>
        <w:t>can be dropped off and collected at any time between 8:45am and 3:30pm</w:t>
      </w:r>
      <w:proofErr w:type="gramEnd"/>
      <w:r>
        <w:rPr>
          <w:rFonts w:ascii="Tahoma" w:hAnsi="Tahoma" w:cs="Tahoma"/>
          <w:sz w:val="20"/>
        </w:rPr>
        <w:t>.</w:t>
      </w:r>
    </w:p>
    <w:p w:rsidR="00C63543" w:rsidRDefault="00C63543" w:rsidP="00C63543">
      <w:pPr>
        <w:pStyle w:val="ListParagraph"/>
        <w:spacing w:line="360" w:lineRule="auto"/>
        <w:rPr>
          <w:rFonts w:ascii="Tahoma" w:hAnsi="Tahoma" w:cs="Tahoma"/>
          <w:sz w:val="20"/>
        </w:rPr>
      </w:pPr>
    </w:p>
    <w:p w:rsidR="00C63543" w:rsidRDefault="00C63543" w:rsidP="00C63543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Only </w:t>
      </w:r>
      <w:r w:rsidRPr="00062774">
        <w:rPr>
          <w:rFonts w:ascii="Tahoma" w:hAnsi="Tahoma" w:cs="Tahoma"/>
          <w:b/>
          <w:sz w:val="20"/>
        </w:rPr>
        <w:t>one</w:t>
      </w:r>
      <w:r>
        <w:rPr>
          <w:rFonts w:ascii="Tahoma" w:hAnsi="Tahoma" w:cs="Tahoma"/>
          <w:sz w:val="20"/>
        </w:rPr>
        <w:t xml:space="preserve"> adult is to drop off and collect children from the hub.</w:t>
      </w:r>
    </w:p>
    <w:p w:rsidR="00C63543" w:rsidRDefault="00C63543" w:rsidP="00C63543">
      <w:pPr>
        <w:spacing w:line="360" w:lineRule="auto"/>
        <w:rPr>
          <w:rFonts w:ascii="Tahoma" w:hAnsi="Tahoma" w:cs="Tahoma"/>
          <w:sz w:val="20"/>
        </w:rPr>
      </w:pPr>
    </w:p>
    <w:p w:rsidR="00C63543" w:rsidRPr="00C43EB7" w:rsidRDefault="00C63543" w:rsidP="00C63543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Pupils will need to have had breakfast at home before coming to the hub.</w:t>
      </w:r>
    </w:p>
    <w:p w:rsidR="00C63543" w:rsidRDefault="00C63543" w:rsidP="00C63543">
      <w:pPr>
        <w:pStyle w:val="ListParagraph"/>
        <w:spacing w:line="360" w:lineRule="auto"/>
        <w:rPr>
          <w:rFonts w:ascii="Tahoma" w:hAnsi="Tahoma" w:cs="Tahoma"/>
          <w:sz w:val="20"/>
        </w:rPr>
      </w:pPr>
    </w:p>
    <w:p w:rsidR="00C63543" w:rsidRDefault="00C63543" w:rsidP="00C63543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Pupils in Nursery to Year 2 will be entitled to a free school lunch. </w:t>
      </w:r>
    </w:p>
    <w:p w:rsidR="00C63543" w:rsidRDefault="00C63543" w:rsidP="00C63543">
      <w:pPr>
        <w:pStyle w:val="ListParagraph"/>
        <w:spacing w:line="360" w:lineRule="auto"/>
        <w:rPr>
          <w:rFonts w:ascii="Tahoma" w:hAnsi="Tahoma" w:cs="Tahoma"/>
          <w:sz w:val="20"/>
        </w:rPr>
      </w:pPr>
    </w:p>
    <w:p w:rsidR="00C63543" w:rsidRDefault="00C63543" w:rsidP="00C63543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For pupils in Year 3 upwards, parents and carers will have to pay for a school lunch. </w:t>
      </w:r>
    </w:p>
    <w:p w:rsidR="00C63543" w:rsidRDefault="00C63543" w:rsidP="00C63543">
      <w:pPr>
        <w:pStyle w:val="ListParagraph"/>
        <w:spacing w:line="360" w:lineRule="auto"/>
        <w:rPr>
          <w:rFonts w:ascii="Tahoma" w:hAnsi="Tahoma" w:cs="Tahoma"/>
          <w:sz w:val="20"/>
        </w:rPr>
      </w:pPr>
    </w:p>
    <w:p w:rsidR="00C63543" w:rsidRDefault="00C63543" w:rsidP="00C63543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Pupils can bring a packed lunch from home.</w:t>
      </w:r>
    </w:p>
    <w:p w:rsidR="00C63543" w:rsidRDefault="00C63543" w:rsidP="00C63543">
      <w:pPr>
        <w:pStyle w:val="ListParagraph"/>
        <w:spacing w:line="360" w:lineRule="auto"/>
        <w:rPr>
          <w:rFonts w:ascii="Tahoma" w:hAnsi="Tahoma" w:cs="Tahoma"/>
          <w:sz w:val="20"/>
        </w:rPr>
      </w:pPr>
    </w:p>
    <w:p w:rsidR="00C63543" w:rsidRDefault="00C63543" w:rsidP="00C63543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your child is going to arrive after 10am and you want them to have a school lunch, please notify the office staff in advance. This is because we need to confirm school lunch numbers with our caterers by 10am.</w:t>
      </w:r>
    </w:p>
    <w:p w:rsidR="00C63543" w:rsidRDefault="00C63543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63543" w:rsidRPr="00CC646C" w:rsidRDefault="00C63543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5A6B09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lang w:eastAsia="en-GB"/>
        </w:rPr>
        <w:t>We</w:t>
      </w:r>
      <w:r w:rsidR="00CC646C"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already know </w:t>
      </w:r>
      <w:r w:rsidR="00902E4B">
        <w:rPr>
          <w:rFonts w:ascii="Tahoma" w:eastAsia="Times New Roman" w:hAnsi="Tahoma" w:cs="Tahoma"/>
          <w:color w:val="000000"/>
          <w:sz w:val="20"/>
          <w:lang w:eastAsia="en-GB"/>
        </w:rPr>
        <w:t>of</w:t>
      </w:r>
      <w:r w:rsidR="00CC646C"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families who will continue to access the </w:t>
      </w:r>
      <w:r w:rsidR="00D946E9">
        <w:rPr>
          <w:rFonts w:ascii="Tahoma" w:eastAsia="Times New Roman" w:hAnsi="Tahoma" w:cs="Tahoma"/>
          <w:color w:val="000000"/>
          <w:sz w:val="20"/>
          <w:lang w:eastAsia="en-GB"/>
        </w:rPr>
        <w:t>provision</w:t>
      </w:r>
      <w:r w:rsidR="00CC646C" w:rsidRPr="00CC646C">
        <w:rPr>
          <w:rFonts w:ascii="Tahoma" w:eastAsia="Times New Roman" w:hAnsi="Tahoma" w:cs="Tahoma"/>
          <w:color w:val="000000"/>
          <w:sz w:val="20"/>
          <w:lang w:eastAsia="en-GB"/>
        </w:rPr>
        <w:t>. However, if you</w:t>
      </w:r>
      <w:r w:rsidR="0013127C">
        <w:rPr>
          <w:rFonts w:ascii="Tahoma" w:eastAsia="Times New Roman" w:hAnsi="Tahoma" w:cs="Tahoma"/>
          <w:color w:val="000000"/>
          <w:sz w:val="20"/>
          <w:lang w:eastAsia="en-GB"/>
        </w:rPr>
        <w:t xml:space="preserve"> plan to do so and</w:t>
      </w:r>
      <w:r w:rsidR="00CC646C"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have not accessed our childcare provision</w:t>
      </w:r>
      <w:r w:rsidR="0013127C">
        <w:rPr>
          <w:rFonts w:ascii="Tahoma" w:eastAsia="Times New Roman" w:hAnsi="Tahoma" w:cs="Tahoma"/>
          <w:color w:val="000000"/>
          <w:sz w:val="20"/>
          <w:lang w:eastAsia="en-GB"/>
        </w:rPr>
        <w:t xml:space="preserve"> before</w:t>
      </w:r>
      <w:r w:rsidR="00CC646C">
        <w:rPr>
          <w:rFonts w:ascii="Tahoma" w:eastAsia="Times New Roman" w:hAnsi="Tahoma" w:cs="Tahoma"/>
          <w:color w:val="000000"/>
          <w:sz w:val="20"/>
          <w:lang w:eastAsia="en-GB"/>
        </w:rPr>
        <w:t>,</w:t>
      </w:r>
      <w:r w:rsidR="00CC646C"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you will need to come to the school</w:t>
      </w:r>
      <w:bookmarkStart w:id="0" w:name="_GoBack"/>
      <w:bookmarkEnd w:id="0"/>
      <w:r w:rsidR="00CC646C" w:rsidRPr="00CC646C">
        <w:rPr>
          <w:rFonts w:ascii="Tahoma" w:eastAsia="Times New Roman" w:hAnsi="Tahoma" w:cs="Tahoma"/>
          <w:b/>
          <w:bCs/>
          <w:color w:val="000000"/>
          <w:sz w:val="20"/>
          <w:lang w:eastAsia="en-GB"/>
        </w:rPr>
        <w:t> </w:t>
      </w:r>
      <w:r w:rsidR="00CC646C" w:rsidRPr="00CC646C">
        <w:rPr>
          <w:rFonts w:ascii="Tahoma" w:eastAsia="Times New Roman" w:hAnsi="Tahoma" w:cs="Tahoma"/>
          <w:color w:val="000000"/>
          <w:sz w:val="20"/>
          <w:lang w:eastAsia="en-GB"/>
        </w:rPr>
        <w:t>to collect and complete the</w:t>
      </w:r>
      <w:r w:rsid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registration forms. Please note</w:t>
      </w:r>
      <w:proofErr w:type="gramStart"/>
      <w:r w:rsidR="00CC646C" w:rsidRPr="00CC646C">
        <w:rPr>
          <w:rFonts w:ascii="Tahoma" w:eastAsia="Times New Roman" w:hAnsi="Tahoma" w:cs="Tahoma"/>
          <w:color w:val="000000"/>
          <w:sz w:val="20"/>
          <w:lang w:eastAsia="en-GB"/>
        </w:rPr>
        <w:t>,</w:t>
      </w:r>
      <w:proofErr w:type="gramEnd"/>
      <w:r w:rsidR="00CC646C"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you will need to provide the key worker letter from your employer and provide your line manager's</w:t>
      </w:r>
      <w:r w:rsidR="00CC646C" w:rsidRPr="00CC646C">
        <w:rPr>
          <w:rFonts w:ascii="Tahoma" w:eastAsia="Times New Roman" w:hAnsi="Tahoma" w:cs="Tahoma"/>
          <w:b/>
          <w:bCs/>
          <w:color w:val="000000"/>
          <w:sz w:val="20"/>
          <w:lang w:eastAsia="en-GB"/>
        </w:rPr>
        <w:t> </w:t>
      </w:r>
      <w:r w:rsidR="00CC646C" w:rsidRPr="00CC646C">
        <w:rPr>
          <w:rFonts w:ascii="Tahoma" w:eastAsia="Times New Roman" w:hAnsi="Tahoma" w:cs="Tahoma"/>
          <w:color w:val="000000"/>
          <w:sz w:val="20"/>
          <w:bdr w:val="none" w:sz="0" w:space="0" w:color="auto" w:frame="1"/>
          <w:lang w:eastAsia="en-GB"/>
        </w:rPr>
        <w:t>contact details. </w:t>
      </w:r>
    </w:p>
    <w:p w:rsid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13127C" w:rsidRDefault="0013127C" w:rsidP="0013127C">
      <w:pPr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en-GB"/>
        </w:rPr>
      </w:pPr>
    </w:p>
    <w:p w:rsidR="0013127C" w:rsidRPr="00CC646C" w:rsidRDefault="0013127C" w:rsidP="0013127C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en-GB"/>
        </w:rPr>
        <w:t xml:space="preserve">The categories of key-worker families and vulnerable children </w:t>
      </w:r>
      <w:r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en-GB"/>
        </w:rPr>
        <w:t>able to access the hub are as follows</w:t>
      </w:r>
      <w:r w:rsidRPr="00CC646C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en-GB"/>
        </w:rPr>
        <w:t>: </w:t>
      </w: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 </w:t>
      </w:r>
    </w:p>
    <w:p w:rsidR="0013127C" w:rsidRPr="00CC646C" w:rsidRDefault="0013127C" w:rsidP="0013127C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13127C" w:rsidRPr="00CC646C" w:rsidRDefault="0013127C" w:rsidP="0013127C">
      <w:pPr>
        <w:numPr>
          <w:ilvl w:val="0"/>
          <w:numId w:val="3"/>
        </w:numPr>
        <w:spacing w:before="100" w:beforeAutospacing="1" w:after="100" w:afterAutospacing="1"/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proofErr w:type="gramStart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NHS staff; social workers, care workers, health and social care staff and those required to maintain the sector; teachers, specialist education professionals and nursery staff; staff essential to the operation of the justice system; staff involved in the management of the deceased; administrative staff in local and central government essential to the delivery of the COVID-19 response or the delivery of essential public services, such as the payment of benefits.</w:t>
      </w:r>
      <w:proofErr w:type="gramEnd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</w:t>
      </w:r>
      <w:proofErr w:type="gramStart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This includes government agencies and arms-length bodies; staff delivering essential public services such as payment of benefits; staff involved in the distribution of food or other key goods; police and police support staff; fire and rescue staff and support staff; transport workers; utilities workers; probation staff; IT staff necessary to support Covid-19 response; payment providers; waste disposal service presumably including refuse collection; armed forces personnel; MoD civilian staff and contractors; National Crime Agency; border security; national security staff; </w:t>
      </w:r>
      <w:proofErr w:type="spellStart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religi</w:t>
      </w:r>
      <w:proofErr w:type="spellEnd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</w:t>
      </w:r>
      <w:proofErr w:type="spellStart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ons</w:t>
      </w:r>
      <w:proofErr w:type="spellEnd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and charity staff; journalists and broadcasters; university staff working in a research role to help fight Covid-19 to the list of eligible workers.</w:t>
      </w:r>
      <w:proofErr w:type="gramEnd"/>
    </w:p>
    <w:p w:rsidR="0013127C" w:rsidRPr="00CC646C" w:rsidRDefault="0013127C" w:rsidP="0013127C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       2. Children with an E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 xml:space="preserve">ducational </w:t>
      </w: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H</w:t>
      </w:r>
      <w:r>
        <w:rPr>
          <w:rFonts w:ascii="Tahoma" w:eastAsia="Times New Roman" w:hAnsi="Tahoma" w:cs="Tahoma"/>
          <w:color w:val="000000"/>
          <w:sz w:val="20"/>
          <w:lang w:eastAsia="en-GB"/>
        </w:rPr>
        <w:t>ealthcare Plan</w:t>
      </w: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who have had a recent risk assessment.</w:t>
      </w:r>
    </w:p>
    <w:p w:rsidR="0013127C" w:rsidRPr="00CC646C" w:rsidRDefault="0013127C" w:rsidP="0013127C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13127C" w:rsidRPr="00CC646C" w:rsidRDefault="0013127C" w:rsidP="0013127C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       3. Families currently receiving support from a social worker.</w:t>
      </w:r>
    </w:p>
    <w:p w:rsidR="0013127C" w:rsidRDefault="0013127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13127C" w:rsidRPr="00CC646C" w:rsidRDefault="0013127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u w:val="single"/>
          <w:bdr w:val="none" w:sz="0" w:space="0" w:color="auto" w:frame="1"/>
          <w:lang w:eastAsia="en-GB"/>
        </w:rPr>
        <w:t>Parents/Carers of pupils with SEND</w:t>
      </w: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bdr w:val="none" w:sz="0" w:space="0" w:color="auto" w:frame="1"/>
          <w:lang w:eastAsia="en-GB"/>
        </w:rPr>
        <w:t>For those pupils who have designated 1:1 support from a key adult, we </w:t>
      </w:r>
      <w:r w:rsidR="00FD3B15" w:rsidRPr="00CC646C">
        <w:rPr>
          <w:rFonts w:ascii="Tahoma" w:eastAsia="Times New Roman" w:hAnsi="Tahoma" w:cs="Tahoma"/>
          <w:color w:val="000000"/>
          <w:sz w:val="20"/>
          <w:u w:val="single"/>
          <w:bdr w:val="none" w:sz="0" w:space="0" w:color="auto" w:frame="1"/>
          <w:lang w:eastAsia="en-GB"/>
        </w:rPr>
        <w:t>can</w:t>
      </w:r>
      <w:r w:rsidR="00FD3B15">
        <w:rPr>
          <w:rFonts w:ascii="Tahoma" w:eastAsia="Times New Roman" w:hAnsi="Tahoma" w:cs="Tahoma"/>
          <w:color w:val="000000"/>
          <w:sz w:val="20"/>
          <w:u w:val="single"/>
          <w:bdr w:val="none" w:sz="0" w:space="0" w:color="auto" w:frame="1"/>
          <w:lang w:eastAsia="en-GB"/>
        </w:rPr>
        <w:t>n</w:t>
      </w:r>
      <w:r w:rsidR="00FD3B15" w:rsidRPr="00CC646C">
        <w:rPr>
          <w:rFonts w:ascii="Tahoma" w:eastAsia="Times New Roman" w:hAnsi="Tahoma" w:cs="Tahoma"/>
          <w:color w:val="000000"/>
          <w:sz w:val="20"/>
          <w:u w:val="single"/>
          <w:bdr w:val="none" w:sz="0" w:space="0" w:color="auto" w:frame="1"/>
          <w:lang w:eastAsia="en-GB"/>
        </w:rPr>
        <w:t>ot</w:t>
      </w:r>
      <w:r w:rsidRPr="00CC646C">
        <w:rPr>
          <w:rFonts w:ascii="Tahoma" w:eastAsia="Times New Roman" w:hAnsi="Tahoma" w:cs="Tahoma"/>
          <w:color w:val="000000"/>
          <w:sz w:val="20"/>
          <w:bdr w:val="none" w:sz="0" w:space="0" w:color="auto" w:frame="1"/>
          <w:lang w:eastAsia="en-GB"/>
        </w:rPr>
        <w:t xml:space="preserve"> guarantee that the 1:1 adult will be available, and/or there will be enough staff to provide 1:1 support throughout the day. Therefore, please give </w:t>
      </w:r>
      <w:r w:rsidRPr="00CC646C">
        <w:rPr>
          <w:rFonts w:ascii="Tahoma" w:eastAsia="Times New Roman" w:hAnsi="Tahoma" w:cs="Tahoma"/>
          <w:color w:val="000000"/>
          <w:sz w:val="20"/>
          <w:bdr w:val="none" w:sz="0" w:space="0" w:color="auto" w:frame="1"/>
          <w:lang w:eastAsia="en-GB"/>
        </w:rPr>
        <w:lastRenderedPageBreak/>
        <w:t>consideration as to whether your child could successfully manage a mixed-age childcare setting, coupled with differing staff and a potential reduction in 1:1 support.</w:t>
      </w:r>
    </w:p>
    <w:p w:rsid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13127C" w:rsidRPr="00CC646C" w:rsidRDefault="0013127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If considered safe to do so, the school will re-open to pupils in Year 6 on Monday 15th June. Please note, the hub </w:t>
      </w:r>
      <w:r w:rsidRPr="00CC646C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en-GB"/>
        </w:rPr>
        <w:t>will</w:t>
      </w: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 continue to provide childcare for the children of key workers who are not in Year 6. </w:t>
      </w: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Default="00FD3B15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lang w:eastAsia="en-GB"/>
        </w:rPr>
        <w:t>Yours sincerely</w:t>
      </w:r>
    </w:p>
    <w:p w:rsidR="00FD3B15" w:rsidRDefault="00FD3B15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FD3B15" w:rsidRPr="00CC646C" w:rsidRDefault="00FD3B15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David Robinson</w:t>
      </w: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Headteacher</w:t>
      </w:r>
    </w:p>
    <w:p w:rsidR="00CC646C" w:rsidRPr="00CC646C" w:rsidRDefault="00CC646C" w:rsidP="00FD3B15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lang w:eastAsia="en-GB"/>
        </w:rPr>
      </w:pPr>
      <w:proofErr w:type="spellStart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>Barlows</w:t>
      </w:r>
      <w:proofErr w:type="spellEnd"/>
      <w:r w:rsidRPr="00CC646C">
        <w:rPr>
          <w:rFonts w:ascii="Tahoma" w:eastAsia="Times New Roman" w:hAnsi="Tahoma" w:cs="Tahoma"/>
          <w:color w:val="000000"/>
          <w:sz w:val="20"/>
          <w:lang w:eastAsia="en-GB"/>
        </w:rPr>
        <w:t xml:space="preserve"> Primary School</w:t>
      </w:r>
    </w:p>
    <w:p w:rsidR="005A0520" w:rsidRPr="00F91335" w:rsidRDefault="005A0520" w:rsidP="00F91335"/>
    <w:sectPr w:rsidR="005A0520" w:rsidRPr="00F91335" w:rsidSect="00BA6BAE">
      <w:headerReference w:type="default" r:id="rId8"/>
      <w:footerReference w:type="default" r:id="rId9"/>
      <w:pgSz w:w="11900" w:h="16840"/>
      <w:pgMar w:top="2693" w:right="794" w:bottom="1440" w:left="794" w:header="709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3B" w:rsidRDefault="0029613B" w:rsidP="00BC30E6">
      <w:r>
        <w:separator/>
      </w:r>
    </w:p>
  </w:endnote>
  <w:endnote w:type="continuationSeparator" w:id="0">
    <w:p w:rsidR="0029613B" w:rsidRDefault="0029613B" w:rsidP="00BC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3B" w:rsidRPr="0029613B" w:rsidRDefault="007552DC" w:rsidP="00584D4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-25400</wp:posOffset>
          </wp:positionH>
          <wp:positionV relativeFrom="paragraph">
            <wp:posOffset>-650240</wp:posOffset>
          </wp:positionV>
          <wp:extent cx="7531100" cy="1136015"/>
          <wp:effectExtent l="0" t="0" r="0" b="6985"/>
          <wp:wrapTight wrapText="bothSides">
            <wp:wrapPolygon edited="0">
              <wp:start x="0" y="0"/>
              <wp:lineTo x="0" y="21371"/>
              <wp:lineTo x="21527" y="21371"/>
              <wp:lineTo x="21527" y="0"/>
              <wp:lineTo x="0" y="0"/>
            </wp:wrapPolygon>
          </wp:wrapTight>
          <wp:docPr id="4" name="Picture 4" descr="C:\Users\karnold\AppData\Local\Microsoft\Windows\Temporary Internet Files\Content.Outlook\RLBISSS9\Barlows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nold\AppData\Local\Microsoft\Windows\Temporary Internet Files\Content.Outlook\RLBISSS9\Barlows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3B" w:rsidRDefault="0029613B" w:rsidP="00BC30E6">
      <w:r>
        <w:separator/>
      </w:r>
    </w:p>
  </w:footnote>
  <w:footnote w:type="continuationSeparator" w:id="0">
    <w:p w:rsidR="0029613B" w:rsidRDefault="0029613B" w:rsidP="00BC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2B" w:rsidRDefault="00354A58" w:rsidP="00584D4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-485140</wp:posOffset>
          </wp:positionH>
          <wp:positionV relativeFrom="paragraph">
            <wp:posOffset>-437515</wp:posOffset>
          </wp:positionV>
          <wp:extent cx="7543165" cy="2050415"/>
          <wp:effectExtent l="19050" t="0" r="635" b="0"/>
          <wp:wrapTight wrapText="bothSides">
            <wp:wrapPolygon edited="0">
              <wp:start x="-55" y="0"/>
              <wp:lineTo x="-55" y="21473"/>
              <wp:lineTo x="21602" y="21473"/>
              <wp:lineTo x="21602" y="0"/>
              <wp:lineTo x="-55" y="0"/>
            </wp:wrapPolygon>
          </wp:wrapTight>
          <wp:docPr id="3" name="Picture 3" descr="C:\Users\karnold\AppData\Local\Microsoft\Windows\Temporary Internet Files\Content.Outlook\RLBISSS9\Barlow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nold\AppData\Local\Microsoft\Windows\Temporary Internet Files\Content.Outlook\RLBISSS9\Barlows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205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613B" w:rsidRDefault="0029613B" w:rsidP="00584D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623"/>
    <w:multiLevelType w:val="hybridMultilevel"/>
    <w:tmpl w:val="44DE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F96"/>
    <w:multiLevelType w:val="multilevel"/>
    <w:tmpl w:val="34A063CA"/>
    <w:lvl w:ilvl="0">
      <w:start w:val="1"/>
      <w:numFmt w:val="decimal"/>
      <w:pStyle w:val="AmionSubHeader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2F0AFF"/>
    <w:multiLevelType w:val="multilevel"/>
    <w:tmpl w:val="FF22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42572"/>
    <w:multiLevelType w:val="multilevel"/>
    <w:tmpl w:val="0409001D"/>
    <w:styleLink w:val="AmionParagraphnumbers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E6"/>
    <w:rsid w:val="00095F7D"/>
    <w:rsid w:val="0013127C"/>
    <w:rsid w:val="00140F6A"/>
    <w:rsid w:val="0015022B"/>
    <w:rsid w:val="00150601"/>
    <w:rsid w:val="00152BC2"/>
    <w:rsid w:val="00173381"/>
    <w:rsid w:val="00180C93"/>
    <w:rsid w:val="00263DFE"/>
    <w:rsid w:val="0029613B"/>
    <w:rsid w:val="002A5C5F"/>
    <w:rsid w:val="002E7896"/>
    <w:rsid w:val="002F2E19"/>
    <w:rsid w:val="00350B2A"/>
    <w:rsid w:val="00354A58"/>
    <w:rsid w:val="003A62A6"/>
    <w:rsid w:val="003B70F4"/>
    <w:rsid w:val="003C1563"/>
    <w:rsid w:val="003E1403"/>
    <w:rsid w:val="003E5599"/>
    <w:rsid w:val="003F43F9"/>
    <w:rsid w:val="00423E93"/>
    <w:rsid w:val="004579B2"/>
    <w:rsid w:val="00476264"/>
    <w:rsid w:val="004F2805"/>
    <w:rsid w:val="00543CC7"/>
    <w:rsid w:val="00584D48"/>
    <w:rsid w:val="005A0520"/>
    <w:rsid w:val="005A6B09"/>
    <w:rsid w:val="005B2331"/>
    <w:rsid w:val="005C3AFF"/>
    <w:rsid w:val="005D202B"/>
    <w:rsid w:val="00656ECF"/>
    <w:rsid w:val="00665414"/>
    <w:rsid w:val="007552DC"/>
    <w:rsid w:val="00775DA5"/>
    <w:rsid w:val="007B1979"/>
    <w:rsid w:val="007F2F78"/>
    <w:rsid w:val="008145AB"/>
    <w:rsid w:val="0083327E"/>
    <w:rsid w:val="00845944"/>
    <w:rsid w:val="00865544"/>
    <w:rsid w:val="008B6819"/>
    <w:rsid w:val="008B7CBD"/>
    <w:rsid w:val="00902E4B"/>
    <w:rsid w:val="009640AC"/>
    <w:rsid w:val="00973598"/>
    <w:rsid w:val="00983ABC"/>
    <w:rsid w:val="00A60150"/>
    <w:rsid w:val="00A738C6"/>
    <w:rsid w:val="00A741C5"/>
    <w:rsid w:val="00B07B8F"/>
    <w:rsid w:val="00B316AF"/>
    <w:rsid w:val="00B607FC"/>
    <w:rsid w:val="00B844D0"/>
    <w:rsid w:val="00BA6BAE"/>
    <w:rsid w:val="00BC30E6"/>
    <w:rsid w:val="00BC6F1C"/>
    <w:rsid w:val="00BF3AB9"/>
    <w:rsid w:val="00C248BA"/>
    <w:rsid w:val="00C63543"/>
    <w:rsid w:val="00C953CF"/>
    <w:rsid w:val="00CC4404"/>
    <w:rsid w:val="00CC646C"/>
    <w:rsid w:val="00CD59FE"/>
    <w:rsid w:val="00D946E9"/>
    <w:rsid w:val="00DA0323"/>
    <w:rsid w:val="00DA5A08"/>
    <w:rsid w:val="00DE4E36"/>
    <w:rsid w:val="00DE7ABB"/>
    <w:rsid w:val="00DF1E5A"/>
    <w:rsid w:val="00E31BE6"/>
    <w:rsid w:val="00E36754"/>
    <w:rsid w:val="00E82ED3"/>
    <w:rsid w:val="00F14956"/>
    <w:rsid w:val="00F35B3D"/>
    <w:rsid w:val="00F7776E"/>
    <w:rsid w:val="00F83D8E"/>
    <w:rsid w:val="00F91335"/>
    <w:rsid w:val="00F9605D"/>
    <w:rsid w:val="00FD3B15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D74843"/>
  <w15:docId w15:val="{E28A485D-B815-4F90-BE32-CD6E613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0308"/>
    <w:rPr>
      <w:rFonts w:ascii="Lucida Grande" w:hAnsi="Lucida Grande"/>
      <w:sz w:val="18"/>
      <w:szCs w:val="18"/>
    </w:rPr>
  </w:style>
  <w:style w:type="paragraph" w:customStyle="1" w:styleId="AmionSubHeader">
    <w:name w:val="Amion Sub Header"/>
    <w:autoRedefine/>
    <w:qFormat/>
    <w:rsid w:val="003F43F9"/>
    <w:pPr>
      <w:numPr>
        <w:numId w:val="1"/>
      </w:numPr>
      <w:spacing w:before="240" w:after="240"/>
    </w:pPr>
    <w:rPr>
      <w:rFonts w:ascii="Franklin Gothic Medium" w:eastAsia="MS Mincho" w:hAnsi="Franklin Gothic Medium" w:cs="Cambria"/>
      <w:b/>
      <w:color w:val="000000"/>
      <w:sz w:val="24"/>
      <w:szCs w:val="24"/>
      <w:lang w:eastAsia="en-US"/>
    </w:rPr>
  </w:style>
  <w:style w:type="numbering" w:customStyle="1" w:styleId="AmionParagraphnumbers">
    <w:name w:val="Amion Paragraph numbers"/>
    <w:basedOn w:val="NoList"/>
    <w:uiPriority w:val="99"/>
    <w:rsid w:val="003C156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C3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0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3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0E6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BC30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43CC7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59"/>
    <w:rsid w:val="00F1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4330-3023-4072-B9A3-0580488B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Clarity Creation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Stuart</dc:creator>
  <cp:lastModifiedBy> </cp:lastModifiedBy>
  <cp:revision>3</cp:revision>
  <cp:lastPrinted>2020-05-18T11:07:00Z</cp:lastPrinted>
  <dcterms:created xsi:type="dcterms:W3CDTF">2020-05-22T14:24:00Z</dcterms:created>
  <dcterms:modified xsi:type="dcterms:W3CDTF">2020-05-22T14:25:00Z</dcterms:modified>
</cp:coreProperties>
</file>